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1A" w:rsidRDefault="0069011A" w:rsidP="0069011A">
      <w:pPr>
        <w:pStyle w:val="Title"/>
        <w:pBdr>
          <w:top w:val="none" w:sz="0" w:space="0" w:color="auto"/>
          <w:bottom w:val="none" w:sz="0" w:space="0" w:color="auto"/>
        </w:pBdr>
      </w:pPr>
      <w:bookmarkStart w:id="0" w:name="_Toc340139248"/>
    </w:p>
    <w:p w:rsidR="0069011A" w:rsidRDefault="0069011A" w:rsidP="0069011A">
      <w:pPr>
        <w:pStyle w:val="Title"/>
        <w:pBdr>
          <w:top w:val="none" w:sz="0" w:space="0" w:color="auto"/>
          <w:bottom w:val="none" w:sz="0" w:space="0" w:color="auto"/>
        </w:pBdr>
      </w:pPr>
    </w:p>
    <w:p w:rsidR="0069011A" w:rsidRDefault="0069011A" w:rsidP="0069011A">
      <w:pPr>
        <w:pStyle w:val="Title"/>
        <w:pBdr>
          <w:top w:val="none" w:sz="0" w:space="0" w:color="auto"/>
          <w:bottom w:val="none" w:sz="0" w:space="0" w:color="auto"/>
        </w:pBdr>
      </w:pPr>
    </w:p>
    <w:p w:rsidR="003724A6" w:rsidRDefault="003724A6" w:rsidP="0069011A">
      <w:pPr>
        <w:pStyle w:val="Title"/>
        <w:pBdr>
          <w:top w:val="dotted" w:sz="4" w:space="1" w:color="auto"/>
          <w:bottom w:val="none" w:sz="0" w:space="0" w:color="auto"/>
        </w:pBdr>
        <w:rPr>
          <w:b w:val="0"/>
        </w:rPr>
      </w:pPr>
      <w:r w:rsidRPr="00A35069">
        <w:t xml:space="preserve">Chapter </w:t>
      </w:r>
      <w:r>
        <w:t>seven</w:t>
      </w:r>
      <w:r w:rsidRPr="00A35069">
        <w:t>:</w:t>
      </w:r>
    </w:p>
    <w:p w:rsidR="003724A6" w:rsidRPr="00A35069" w:rsidRDefault="003724A6" w:rsidP="0069011A">
      <w:pPr>
        <w:pStyle w:val="Title"/>
        <w:pBdr>
          <w:top w:val="none" w:sz="0" w:space="0" w:color="auto"/>
          <w:bottom w:val="none" w:sz="0" w:space="0" w:color="auto"/>
        </w:pBdr>
        <w:rPr>
          <w:b w:val="0"/>
        </w:rPr>
      </w:pPr>
    </w:p>
    <w:p w:rsidR="003724A6" w:rsidRPr="00A35069" w:rsidRDefault="003724A6" w:rsidP="0069011A">
      <w:pPr>
        <w:pStyle w:val="Title"/>
        <w:pBdr>
          <w:top w:val="none" w:sz="0" w:space="0" w:color="auto"/>
          <w:bottom w:val="dotted" w:sz="4" w:space="1" w:color="auto"/>
        </w:pBdr>
        <w:rPr>
          <w:b w:val="0"/>
        </w:rPr>
      </w:pPr>
      <w:r>
        <w:t>local institutional capability</w:t>
      </w:r>
    </w:p>
    <w:p w:rsidR="003724A6" w:rsidRDefault="003724A6">
      <w:pPr>
        <w:rPr>
          <w:rFonts w:eastAsia="Times New Roman"/>
          <w:b/>
          <w:caps/>
          <w:color w:val="7F7F7F" w:themeColor="text1" w:themeTint="80"/>
          <w:spacing w:val="20"/>
          <w:sz w:val="28"/>
          <w:szCs w:val="28"/>
        </w:rPr>
      </w:pPr>
      <w:r>
        <w:rPr>
          <w:rFonts w:eastAsia="Times New Roman"/>
          <w:b/>
          <w:caps/>
          <w:color w:val="7F7F7F" w:themeColor="text1" w:themeTint="80"/>
          <w:spacing w:val="20"/>
          <w:sz w:val="28"/>
          <w:szCs w:val="28"/>
        </w:rPr>
        <w:br w:type="page"/>
      </w:r>
    </w:p>
    <w:p w:rsidR="00E81118" w:rsidRPr="00E81118" w:rsidRDefault="00E81118" w:rsidP="00E40D24">
      <w:pPr>
        <w:pStyle w:val="Heading1"/>
        <w:numPr>
          <w:ilvl w:val="0"/>
          <w:numId w:val="7"/>
        </w:numPr>
        <w:ind w:left="0" w:firstLine="0"/>
        <w:jc w:val="center"/>
        <w:rPr>
          <w:rFonts w:eastAsia="Times New Roman"/>
        </w:rPr>
      </w:pPr>
      <w:r w:rsidRPr="00E81118">
        <w:rPr>
          <w:rFonts w:eastAsia="Times New Roman"/>
        </w:rPr>
        <w:lastRenderedPageBreak/>
        <w:t>Local Institutional Capability</w:t>
      </w:r>
      <w:bookmarkEnd w:id="0"/>
    </w:p>
    <w:p w:rsidR="00127E72" w:rsidRPr="00127E72" w:rsidRDefault="00127E72" w:rsidP="00127E72">
      <w:pPr>
        <w:pStyle w:val="NoSpacing"/>
      </w:pPr>
      <w:bookmarkStart w:id="1" w:name="_Toc340139249"/>
    </w:p>
    <w:p w:rsidR="00127E72" w:rsidRDefault="00127E72" w:rsidP="00127E72">
      <w:pPr>
        <w:pStyle w:val="NoSpacing"/>
      </w:pPr>
      <w:r w:rsidRPr="00127E72">
        <w:t>This profile of the institutional development sector is divided into four parts. The first part discusses the local planning structure – the LGU’s organizational structure, the local development council (LDC), and the Office of the City Planning and Development Coordinator. The second part discusses the local fiscal management: the status of financial health, the city’s source of revenue, extent of fiscal autonomy, and actual expenditures by general account. The third part lists the resolutions passed and ordinances enacted that are related to development. The fourth part is about the LGU-CSO-Private Sector Linkages.</w:t>
      </w:r>
    </w:p>
    <w:p w:rsidR="004F3C0C" w:rsidRPr="00127E72" w:rsidRDefault="004F3C0C" w:rsidP="00127E72">
      <w:pPr>
        <w:pStyle w:val="NoSpacing"/>
      </w:pPr>
    </w:p>
    <w:p w:rsidR="00E81118" w:rsidRPr="004F3C0C" w:rsidRDefault="00E81118" w:rsidP="004F3C0C">
      <w:pPr>
        <w:pStyle w:val="Heading2"/>
        <w:numPr>
          <w:ilvl w:val="1"/>
          <w:numId w:val="7"/>
        </w:numPr>
        <w:pBdr>
          <w:bottom w:val="single" w:sz="4" w:space="1" w:color="auto"/>
        </w:pBdr>
        <w:spacing w:before="0" w:after="0"/>
        <w:ind w:left="720"/>
        <w:rPr>
          <w:rFonts w:eastAsia="Times New Roman" w:cs="Calibri"/>
        </w:rPr>
      </w:pPr>
      <w:r w:rsidRPr="004F3C0C">
        <w:rPr>
          <w:rFonts w:eastAsia="Times New Roman"/>
        </w:rPr>
        <w:t>Local Planning Structure</w:t>
      </w:r>
      <w:bookmarkEnd w:id="1"/>
    </w:p>
    <w:p w:rsidR="0066092E" w:rsidRDefault="0066092E" w:rsidP="00127E72">
      <w:pPr>
        <w:pStyle w:val="NoSpacing"/>
      </w:pPr>
      <w:bookmarkStart w:id="2" w:name="_Toc340139250"/>
    </w:p>
    <w:p w:rsidR="00127E72" w:rsidRDefault="00127E72" w:rsidP="00127E72">
      <w:pPr>
        <w:pStyle w:val="NoSpacing"/>
        <w:rPr>
          <w:rStyle w:val="QuoteChar"/>
        </w:rPr>
      </w:pPr>
      <w:r w:rsidRPr="00B00BDE">
        <w:t xml:space="preserve">Republic Act 7160 of 1991, otherwise known as the Local Government Code (LGC), has given autonomy to Local Government Units (LGUs) regarding the development of their territorial jurisdiction. Section 20(c) of the Code states </w:t>
      </w:r>
      <w:r w:rsidRPr="00B00BDE">
        <w:rPr>
          <w:rStyle w:val="QuoteChar"/>
        </w:rPr>
        <w:t>“The local government units shall, in conformity with existing laws, continue to prepare their respective comprehensive land use plans enacted through zoning ordinances which shall be the primary and dominant bases for the future use of land resources: Provided, That the requirements for food production, human settlements, and industrial expansion shall be taken into consideration in the preparation of such plans.”</w:t>
      </w:r>
    </w:p>
    <w:p w:rsidR="0066092E" w:rsidRDefault="0066092E" w:rsidP="00127E72">
      <w:pPr>
        <w:pStyle w:val="NoSpacing"/>
        <w:rPr>
          <w:rFonts w:eastAsia="Times New Roman"/>
        </w:rPr>
      </w:pPr>
    </w:p>
    <w:p w:rsidR="00E81118" w:rsidRPr="00E81118" w:rsidRDefault="00E81118" w:rsidP="00FC15F2">
      <w:pPr>
        <w:pStyle w:val="Heading3"/>
        <w:numPr>
          <w:ilvl w:val="2"/>
          <w:numId w:val="7"/>
        </w:numPr>
        <w:pBdr>
          <w:top w:val="dotted" w:sz="4" w:space="1" w:color="auto"/>
          <w:bottom w:val="dotted" w:sz="4" w:space="1" w:color="auto"/>
        </w:pBdr>
        <w:rPr>
          <w:rFonts w:eastAsia="Times New Roman"/>
        </w:rPr>
      </w:pPr>
      <w:r w:rsidRPr="00E81118">
        <w:rPr>
          <w:rFonts w:eastAsia="Times New Roman"/>
        </w:rPr>
        <w:t xml:space="preserve">The LGU’s Organizational Structure </w:t>
      </w:r>
      <w:bookmarkEnd w:id="2"/>
    </w:p>
    <w:p w:rsidR="0066092E" w:rsidRDefault="0066092E" w:rsidP="0066092E">
      <w:pPr>
        <w:spacing w:after="0" w:line="276" w:lineRule="auto"/>
        <w:rPr>
          <w:rFonts w:ascii="Calibri" w:eastAsia="Calibri" w:hAnsi="Calibri" w:cs="Times New Roman"/>
        </w:rPr>
      </w:pPr>
    </w:p>
    <w:p w:rsidR="00E81118" w:rsidRPr="00E81118" w:rsidRDefault="00422B72" w:rsidP="0066092E">
      <w:pPr>
        <w:spacing w:after="0" w:line="240" w:lineRule="auto"/>
        <w:jc w:val="both"/>
        <w:rPr>
          <w:rFonts w:ascii="Calibri" w:eastAsia="Calibri" w:hAnsi="Calibri" w:cs="Times New Roman"/>
        </w:rPr>
      </w:pPr>
      <w:r>
        <w:rPr>
          <w:rFonts w:ascii="Calibri" w:eastAsia="Calibri" w:hAnsi="Calibri" w:cs="Times New Roman"/>
        </w:rPr>
        <w:t>This section describes the organization and human resources of the City Government of San Carlos. The structure and staffing of the different offices of the city government give h</w:t>
      </w:r>
      <w:r w:rsidR="0066092E">
        <w:rPr>
          <w:rFonts w:ascii="Calibri" w:eastAsia="Calibri" w:hAnsi="Calibri" w:cs="Times New Roman"/>
        </w:rPr>
        <w:t>int into the capability of the C</w:t>
      </w:r>
      <w:r>
        <w:rPr>
          <w:rFonts w:ascii="Calibri" w:eastAsia="Calibri" w:hAnsi="Calibri" w:cs="Times New Roman"/>
        </w:rPr>
        <w:t>ity for managing its development activities.</w:t>
      </w:r>
    </w:p>
    <w:p w:rsidR="00E81118" w:rsidRPr="0066092E" w:rsidRDefault="00E81118" w:rsidP="0066092E">
      <w:pPr>
        <w:keepNext/>
        <w:keepLines/>
        <w:spacing w:before="200" w:after="0" w:line="276" w:lineRule="auto"/>
        <w:outlineLvl w:val="2"/>
        <w:rPr>
          <w:rFonts w:ascii="Calibri" w:eastAsia="Times New Roman" w:hAnsi="Calibri" w:cs="Times New Roman"/>
          <w:bCs/>
          <w:u w:val="single"/>
        </w:rPr>
      </w:pPr>
      <w:bookmarkStart w:id="3" w:name="_Toc340139251"/>
      <w:r w:rsidRPr="0066092E">
        <w:rPr>
          <w:rFonts w:ascii="Calibri" w:eastAsia="Times New Roman" w:hAnsi="Calibri" w:cs="Times New Roman"/>
          <w:bCs/>
          <w:u w:val="single"/>
        </w:rPr>
        <w:t>The Local Development Council</w:t>
      </w:r>
      <w:bookmarkEnd w:id="3"/>
    </w:p>
    <w:p w:rsidR="0066092E" w:rsidRDefault="0066092E" w:rsidP="00E81118">
      <w:pPr>
        <w:spacing w:after="0" w:line="240" w:lineRule="auto"/>
        <w:ind w:left="1224"/>
        <w:jc w:val="both"/>
        <w:rPr>
          <w:rFonts w:ascii="Calibri" w:eastAsia="Calibri" w:hAnsi="Calibri" w:cs="Times New Roman"/>
        </w:rPr>
      </w:pPr>
    </w:p>
    <w:p w:rsidR="00E81118" w:rsidRPr="00E81118" w:rsidRDefault="00E81118" w:rsidP="0066092E">
      <w:pPr>
        <w:spacing w:after="0" w:line="240" w:lineRule="auto"/>
        <w:jc w:val="both"/>
        <w:rPr>
          <w:rFonts w:ascii="Calibri" w:eastAsia="Calibri" w:hAnsi="Calibri" w:cs="Times New Roman"/>
        </w:rPr>
      </w:pPr>
      <w:r w:rsidRPr="00E81118">
        <w:rPr>
          <w:rFonts w:ascii="Calibri" w:eastAsia="Calibri" w:hAnsi="Calibri" w:cs="Times New Roman"/>
        </w:rPr>
        <w:t xml:space="preserve">In accordance </w:t>
      </w:r>
      <w:r w:rsidR="00D62C6A" w:rsidRPr="00E81118">
        <w:rPr>
          <w:rFonts w:ascii="Calibri" w:eastAsia="Calibri" w:hAnsi="Calibri" w:cs="Times New Roman"/>
        </w:rPr>
        <w:t>with Section</w:t>
      </w:r>
      <w:r w:rsidRPr="00E81118">
        <w:rPr>
          <w:rFonts w:ascii="Calibri" w:eastAsia="Calibri" w:hAnsi="Calibri" w:cs="Times New Roman"/>
        </w:rPr>
        <w:t xml:space="preserve"> 106-108  of the Local Government Code of 1991, the City Development Council (CDC) was created in the City of San Carlos that assist</w:t>
      </w:r>
      <w:r w:rsidR="00D62C6A">
        <w:rPr>
          <w:rFonts w:ascii="Calibri" w:eastAsia="Calibri" w:hAnsi="Calibri" w:cs="Times New Roman"/>
        </w:rPr>
        <w:t>s</w:t>
      </w:r>
      <w:r w:rsidRPr="00E81118">
        <w:rPr>
          <w:rFonts w:ascii="Calibri" w:eastAsia="Calibri" w:hAnsi="Calibri" w:cs="Times New Roman"/>
        </w:rPr>
        <w:t xml:space="preserve"> the Sanggunian in setting the direction of economic and social development and coordinating development efforts within its territorial jurisdiction.  Further, the said council was reorganized by virtue of Executive Order 98, series of 2010 that took effect on August 28, 2012.  The new composition of the </w:t>
      </w:r>
      <w:r w:rsidR="00D62C6A">
        <w:rPr>
          <w:rFonts w:ascii="Calibri" w:eastAsia="Calibri" w:hAnsi="Calibri" w:cs="Times New Roman"/>
        </w:rPr>
        <w:t>CDC</w:t>
      </w:r>
      <w:r w:rsidRPr="00E81118">
        <w:rPr>
          <w:rFonts w:ascii="Calibri" w:eastAsia="Calibri" w:hAnsi="Calibri" w:cs="Times New Roman"/>
        </w:rPr>
        <w:t xml:space="preserve"> of San Carlos City includes:</w:t>
      </w:r>
    </w:p>
    <w:p w:rsidR="00E81118" w:rsidRPr="00E81118" w:rsidRDefault="00E81118" w:rsidP="00E81118">
      <w:pPr>
        <w:spacing w:after="0" w:line="240" w:lineRule="auto"/>
        <w:jc w:val="both"/>
        <w:rPr>
          <w:rFonts w:ascii="Calibri" w:eastAsia="Calibri" w:hAnsi="Calibri" w:cs="Times New Roman"/>
          <w:b/>
        </w:rPr>
      </w:pPr>
    </w:p>
    <w:tbl>
      <w:tblPr>
        <w:tblW w:w="8820" w:type="dxa"/>
        <w:tblInd w:w="108" w:type="dxa"/>
        <w:tblLook w:val="04A0" w:firstRow="1" w:lastRow="0" w:firstColumn="1" w:lastColumn="0" w:noHBand="0" w:noVBand="1"/>
      </w:tblPr>
      <w:tblGrid>
        <w:gridCol w:w="2160"/>
        <w:gridCol w:w="270"/>
        <w:gridCol w:w="6390"/>
      </w:tblGrid>
      <w:tr w:rsidR="0066092E"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66092E" w:rsidRPr="0066092E" w:rsidRDefault="0066092E" w:rsidP="0066092E">
            <w:pPr>
              <w:pStyle w:val="ListParagraph"/>
              <w:numPr>
                <w:ilvl w:val="0"/>
                <w:numId w:val="9"/>
              </w:numPr>
              <w:spacing w:after="0" w:line="240" w:lineRule="auto"/>
              <w:ind w:left="342" w:hanging="270"/>
              <w:rPr>
                <w:rFonts w:ascii="Calibri" w:eastAsia="Calibri" w:hAnsi="Calibri" w:cs="Times New Roman"/>
              </w:rPr>
            </w:pPr>
            <w:r w:rsidRPr="0066092E">
              <w:rPr>
                <w:rFonts w:ascii="Calibri" w:eastAsia="Calibri" w:hAnsi="Calibri" w:cs="Times New Roman"/>
              </w:rPr>
              <w:t>Membership Composition</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City Mayor</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All Punong Barangays</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SP Member on Finance, Budget and Appropriations</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Representative of the First District of Negros Occidental</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Representatives of duly accredited Non-Governmental Organizations (NGOs)</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r w:rsidRPr="00E81118">
              <w:rPr>
                <w:rFonts w:ascii="Calibri" w:eastAsia="Calibri" w:hAnsi="Calibri" w:cs="Times New Roman"/>
              </w:rPr>
              <w:t>Secretary</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rPr>
                <w:rFonts w:ascii="Calibri" w:eastAsia="Calibri" w:hAnsi="Calibri" w:cs="Times New Roman"/>
              </w:rPr>
            </w:pPr>
            <w:r w:rsidRPr="00E81118">
              <w:rPr>
                <w:rFonts w:ascii="Calibri" w:eastAsia="Calibri" w:hAnsi="Calibri" w:cs="Times New Roman"/>
              </w:rPr>
              <w:t>City Planning and Development Coordinator</w:t>
            </w:r>
          </w:p>
        </w:tc>
      </w:tr>
      <w:tr w:rsidR="00E81118" w:rsidRPr="00E81118" w:rsidTr="0066092E">
        <w:trPr>
          <w:trHeight w:val="80"/>
        </w:trPr>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ind w:left="720"/>
              <w:jc w:val="both"/>
              <w:rPr>
                <w:rFonts w:ascii="Calibri" w:eastAsia="Calibri" w:hAnsi="Calibri" w:cs="Times New Roman"/>
              </w:rPr>
            </w:pP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r>
      <w:tr w:rsidR="0066092E"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66092E" w:rsidRPr="0066092E" w:rsidRDefault="0066092E" w:rsidP="0066092E">
            <w:pPr>
              <w:pStyle w:val="ListParagraph"/>
              <w:numPr>
                <w:ilvl w:val="0"/>
                <w:numId w:val="10"/>
              </w:numPr>
              <w:spacing w:after="0" w:line="240" w:lineRule="auto"/>
              <w:ind w:left="342" w:hanging="270"/>
              <w:jc w:val="both"/>
              <w:rPr>
                <w:rFonts w:ascii="Calibri" w:eastAsia="Calibri" w:hAnsi="Calibri" w:cs="Times New Roman"/>
              </w:rPr>
            </w:pPr>
            <w:r w:rsidRPr="0066092E">
              <w:rPr>
                <w:rFonts w:ascii="Calibri" w:eastAsia="Calibri" w:hAnsi="Calibri" w:cs="Times New Roman"/>
              </w:rPr>
              <w:t>Committees of the CDC</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2"/>
                <w:numId w:val="3"/>
              </w:numPr>
              <w:spacing w:after="0" w:line="240" w:lineRule="auto"/>
              <w:ind w:left="702"/>
              <w:jc w:val="both"/>
              <w:rPr>
                <w:rFonts w:ascii="Calibri" w:eastAsia="Calibri" w:hAnsi="Calibri" w:cs="Times New Roman"/>
              </w:rPr>
            </w:pPr>
            <w:r w:rsidRPr="00E81118">
              <w:rPr>
                <w:rFonts w:ascii="Calibri" w:eastAsia="Calibri" w:hAnsi="Calibri" w:cs="Times New Roman"/>
              </w:rPr>
              <w:t>Committee on Environment</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2"/>
                <w:numId w:val="3"/>
              </w:numPr>
              <w:spacing w:after="0" w:line="240" w:lineRule="auto"/>
              <w:ind w:left="702"/>
              <w:jc w:val="both"/>
              <w:rPr>
                <w:rFonts w:ascii="Calibri" w:eastAsia="Calibri" w:hAnsi="Calibri" w:cs="Times New Roman"/>
              </w:rPr>
            </w:pPr>
            <w:r w:rsidRPr="00E81118">
              <w:rPr>
                <w:rFonts w:ascii="Calibri" w:eastAsia="Calibri" w:hAnsi="Calibri" w:cs="Times New Roman"/>
              </w:rPr>
              <w:t>Committee on Institutional and Good Governance</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2"/>
                <w:numId w:val="3"/>
              </w:numPr>
              <w:spacing w:after="0" w:line="240" w:lineRule="auto"/>
              <w:ind w:left="702"/>
              <w:jc w:val="both"/>
              <w:rPr>
                <w:rFonts w:ascii="Calibri" w:eastAsia="Calibri" w:hAnsi="Calibri" w:cs="Times New Roman"/>
              </w:rPr>
            </w:pPr>
            <w:r w:rsidRPr="00E81118">
              <w:rPr>
                <w:rFonts w:ascii="Calibri" w:eastAsia="Calibri" w:hAnsi="Calibri" w:cs="Times New Roman"/>
              </w:rPr>
              <w:t>Committee on Social Development</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2"/>
                <w:numId w:val="3"/>
              </w:numPr>
              <w:spacing w:after="0" w:line="240" w:lineRule="auto"/>
              <w:ind w:left="702"/>
              <w:jc w:val="both"/>
              <w:rPr>
                <w:rFonts w:ascii="Calibri" w:eastAsia="Calibri" w:hAnsi="Calibri" w:cs="Times New Roman"/>
              </w:rPr>
            </w:pPr>
            <w:r w:rsidRPr="00E81118">
              <w:rPr>
                <w:rFonts w:ascii="Calibri" w:eastAsia="Calibri" w:hAnsi="Calibri" w:cs="Times New Roman"/>
              </w:rPr>
              <w:t>Committee on Economic Development</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2"/>
                <w:numId w:val="3"/>
              </w:numPr>
              <w:spacing w:after="0" w:line="240" w:lineRule="auto"/>
              <w:ind w:left="702"/>
              <w:jc w:val="both"/>
              <w:rPr>
                <w:rFonts w:ascii="Calibri" w:eastAsia="Calibri" w:hAnsi="Calibri" w:cs="Times New Roman"/>
              </w:rPr>
            </w:pPr>
            <w:r w:rsidRPr="00E81118">
              <w:rPr>
                <w:rFonts w:ascii="Calibri" w:eastAsia="Calibri" w:hAnsi="Calibri" w:cs="Times New Roman"/>
              </w:rPr>
              <w:lastRenderedPageBreak/>
              <w:t>Committee on Infrastructure</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66092E" w:rsidRDefault="00E81118" w:rsidP="0066092E">
            <w:pPr>
              <w:pStyle w:val="ListParagraph"/>
              <w:numPr>
                <w:ilvl w:val="0"/>
                <w:numId w:val="10"/>
              </w:numPr>
              <w:spacing w:after="0" w:line="240" w:lineRule="auto"/>
              <w:ind w:left="342" w:hanging="270"/>
              <w:jc w:val="both"/>
              <w:rPr>
                <w:rFonts w:ascii="Calibri" w:eastAsia="Calibri" w:hAnsi="Calibri" w:cs="Times New Roman"/>
              </w:rPr>
            </w:pPr>
            <w:r w:rsidRPr="0066092E">
              <w:rPr>
                <w:rFonts w:ascii="Calibri" w:eastAsia="Calibri" w:hAnsi="Calibri" w:cs="Times New Roman"/>
              </w:rPr>
              <w:t>Composition of the Committees</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0"/>
                <w:numId w:val="4"/>
              </w:numPr>
              <w:spacing w:after="0" w:line="240" w:lineRule="auto"/>
              <w:ind w:left="702"/>
              <w:jc w:val="both"/>
              <w:rPr>
                <w:rFonts w:ascii="Calibri" w:eastAsia="Calibri" w:hAnsi="Calibri" w:cs="Times New Roman"/>
              </w:rPr>
            </w:pPr>
            <w:r w:rsidRPr="00E81118">
              <w:rPr>
                <w:rFonts w:ascii="Calibri" w:eastAsia="Calibri" w:hAnsi="Calibri" w:cs="Times New Roman"/>
              </w:rPr>
              <w:t>Committee on Environment</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Punong Barangay</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Composed of two (2) Punong Barangays and Non-Government Organization</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0"/>
                <w:numId w:val="4"/>
              </w:numPr>
              <w:spacing w:after="0" w:line="240" w:lineRule="auto"/>
              <w:ind w:left="702"/>
              <w:jc w:val="both"/>
              <w:rPr>
                <w:rFonts w:ascii="Calibri" w:eastAsia="Calibri" w:hAnsi="Calibri" w:cs="Times New Roman"/>
              </w:rPr>
            </w:pPr>
            <w:r w:rsidRPr="00E81118">
              <w:rPr>
                <w:rFonts w:ascii="Calibri" w:eastAsia="Calibri" w:hAnsi="Calibri" w:cs="Times New Roman"/>
              </w:rPr>
              <w:t>Committee on Institutional and Good Governance</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Punong Barangay</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Composed of three (3) Punong Barangays and Non-Government Organization</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0"/>
                <w:numId w:val="4"/>
              </w:numPr>
              <w:spacing w:after="0" w:line="240" w:lineRule="auto"/>
              <w:ind w:left="702"/>
              <w:jc w:val="both"/>
              <w:rPr>
                <w:rFonts w:ascii="Calibri" w:eastAsia="Calibri" w:hAnsi="Calibri" w:cs="Times New Roman"/>
              </w:rPr>
            </w:pPr>
            <w:r w:rsidRPr="00E81118">
              <w:rPr>
                <w:rFonts w:ascii="Calibri" w:eastAsia="Calibri" w:hAnsi="Calibri" w:cs="Times New Roman"/>
              </w:rPr>
              <w:t>Committee on Social Development</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Punong Barangay</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Composed of two (2) Punong Barangays and Non-Government Organization</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0"/>
                <w:numId w:val="4"/>
              </w:numPr>
              <w:spacing w:after="0" w:line="240" w:lineRule="auto"/>
              <w:ind w:left="702"/>
              <w:jc w:val="both"/>
              <w:rPr>
                <w:rFonts w:ascii="Calibri" w:eastAsia="Calibri" w:hAnsi="Calibri" w:cs="Times New Roman"/>
              </w:rPr>
            </w:pPr>
            <w:r w:rsidRPr="00E81118">
              <w:rPr>
                <w:rFonts w:ascii="Calibri" w:eastAsia="Calibri" w:hAnsi="Calibri" w:cs="Times New Roman"/>
              </w:rPr>
              <w:t>Committee on Economic Development</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Punong Barangay</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Composed of three (3) Punong Barangays and People’s  Organization</w:t>
            </w:r>
          </w:p>
        </w:tc>
      </w:tr>
      <w:tr w:rsidR="00E81118" w:rsidRPr="00E81118" w:rsidTr="0066092E">
        <w:tc>
          <w:tcPr>
            <w:tcW w:w="8820" w:type="dxa"/>
            <w:gridSpan w:val="3"/>
            <w:tcBorders>
              <w:top w:val="single" w:sz="4" w:space="0" w:color="auto"/>
              <w:left w:val="single" w:sz="4" w:space="0" w:color="auto"/>
              <w:bottom w:val="single" w:sz="4" w:space="0" w:color="auto"/>
              <w:right w:val="single" w:sz="4" w:space="0" w:color="auto"/>
            </w:tcBorders>
          </w:tcPr>
          <w:p w:rsidR="00E81118" w:rsidRPr="00E81118" w:rsidRDefault="00E81118" w:rsidP="0066092E">
            <w:pPr>
              <w:numPr>
                <w:ilvl w:val="0"/>
                <w:numId w:val="4"/>
              </w:numPr>
              <w:spacing w:after="0" w:line="240" w:lineRule="auto"/>
              <w:ind w:left="702"/>
              <w:jc w:val="both"/>
              <w:rPr>
                <w:rFonts w:ascii="Calibri" w:eastAsia="Calibri" w:hAnsi="Calibri" w:cs="Times New Roman"/>
              </w:rPr>
            </w:pPr>
            <w:r w:rsidRPr="00E81118">
              <w:rPr>
                <w:rFonts w:ascii="Calibri" w:eastAsia="Calibri" w:hAnsi="Calibri" w:cs="Times New Roman"/>
              </w:rPr>
              <w:t>Committee on Infrastructure</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Chairman</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Punong Barangay</w:t>
            </w:r>
          </w:p>
        </w:tc>
      </w:tr>
      <w:tr w:rsidR="00E81118" w:rsidRPr="00E81118" w:rsidTr="0066092E">
        <w:tc>
          <w:tcPr>
            <w:tcW w:w="2160" w:type="dxa"/>
            <w:tcBorders>
              <w:top w:val="single" w:sz="4" w:space="0" w:color="auto"/>
              <w:left w:val="single" w:sz="4" w:space="0" w:color="auto"/>
              <w:bottom w:val="single" w:sz="4" w:space="0" w:color="auto"/>
              <w:right w:val="single" w:sz="4" w:space="0" w:color="auto"/>
            </w:tcBorders>
          </w:tcPr>
          <w:p w:rsidR="00E81118" w:rsidRPr="00E81118" w:rsidRDefault="00E81118" w:rsidP="0066092E">
            <w:pPr>
              <w:spacing w:after="0" w:line="240" w:lineRule="auto"/>
              <w:ind w:left="720"/>
              <w:jc w:val="both"/>
              <w:rPr>
                <w:rFonts w:ascii="Calibri" w:eastAsia="Calibri" w:hAnsi="Calibri" w:cs="Times New Roman"/>
              </w:rPr>
            </w:pPr>
            <w:r w:rsidRPr="00E81118">
              <w:rPr>
                <w:rFonts w:ascii="Calibri" w:eastAsia="Calibri" w:hAnsi="Calibri" w:cs="Times New Roman"/>
              </w:rPr>
              <w:t>Members</w:t>
            </w:r>
          </w:p>
        </w:tc>
        <w:tc>
          <w:tcPr>
            <w:tcW w:w="27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p>
        </w:tc>
        <w:tc>
          <w:tcPr>
            <w:tcW w:w="6390" w:type="dxa"/>
            <w:tcBorders>
              <w:top w:val="single" w:sz="4" w:space="0" w:color="auto"/>
              <w:left w:val="single" w:sz="4" w:space="0" w:color="auto"/>
              <w:bottom w:val="single" w:sz="4" w:space="0" w:color="auto"/>
              <w:right w:val="single" w:sz="4" w:space="0" w:color="auto"/>
            </w:tcBorders>
          </w:tcPr>
          <w:p w:rsidR="00E81118" w:rsidRPr="00E81118" w:rsidRDefault="00E81118" w:rsidP="00E81118">
            <w:pPr>
              <w:spacing w:after="0" w:line="240" w:lineRule="auto"/>
              <w:jc w:val="both"/>
              <w:rPr>
                <w:rFonts w:ascii="Calibri" w:eastAsia="Calibri" w:hAnsi="Calibri" w:cs="Times New Roman"/>
              </w:rPr>
            </w:pPr>
            <w:r w:rsidRPr="00E81118">
              <w:rPr>
                <w:rFonts w:ascii="Calibri" w:eastAsia="Calibri" w:hAnsi="Calibri" w:cs="Times New Roman"/>
              </w:rPr>
              <w:t>Composed of two (2) Punong Barangays and Non-Government Organization</w:t>
            </w:r>
          </w:p>
        </w:tc>
      </w:tr>
    </w:tbl>
    <w:p w:rsidR="00E81118" w:rsidRPr="00E81118" w:rsidRDefault="00E81118" w:rsidP="00E81118">
      <w:pPr>
        <w:spacing w:after="0" w:line="240" w:lineRule="auto"/>
        <w:jc w:val="both"/>
        <w:rPr>
          <w:rFonts w:ascii="Calibri" w:eastAsia="Calibri" w:hAnsi="Calibri" w:cs="Times New Roman"/>
          <w:b/>
          <w:color w:val="002060"/>
        </w:rPr>
      </w:pPr>
    </w:p>
    <w:p w:rsidR="00E81118" w:rsidRPr="00E81118" w:rsidRDefault="00E81118" w:rsidP="0066092E">
      <w:pPr>
        <w:autoSpaceDE w:val="0"/>
        <w:autoSpaceDN w:val="0"/>
        <w:adjustRightInd w:val="0"/>
        <w:spacing w:after="0" w:line="240" w:lineRule="auto"/>
        <w:jc w:val="both"/>
        <w:rPr>
          <w:rFonts w:ascii="Calibri" w:eastAsia="Calibri" w:hAnsi="Calibri" w:cs="Calibri"/>
          <w:color w:val="000000"/>
        </w:rPr>
      </w:pPr>
      <w:r w:rsidRPr="00E81118">
        <w:rPr>
          <w:rFonts w:ascii="Calibri" w:eastAsia="Calibri" w:hAnsi="Calibri" w:cs="Calibri"/>
          <w:color w:val="000000"/>
        </w:rPr>
        <w:t>Based on the LDC composition, the Executive Committee is headed by the City Mayor as the Chairman with the head of Barangays, SP Member on Financial, Budget and Appropriations and Non-Government organizations’ (NGO) or people’s organizations’ (PO) representatives as members</w:t>
      </w:r>
      <w:r w:rsidR="0068578E">
        <w:rPr>
          <w:rFonts w:ascii="Calibri" w:eastAsia="Calibri" w:hAnsi="Calibri" w:cs="Calibri"/>
          <w:color w:val="000000"/>
        </w:rPr>
        <w:t xml:space="preserve">.  This </w:t>
      </w:r>
      <w:r w:rsidRPr="00E81118">
        <w:rPr>
          <w:rFonts w:ascii="Calibri" w:eastAsia="Calibri" w:hAnsi="Calibri" w:cs="Calibri"/>
          <w:color w:val="000000"/>
        </w:rPr>
        <w:t>mandatory representation</w:t>
      </w:r>
      <w:r w:rsidR="0068578E">
        <w:rPr>
          <w:rFonts w:ascii="Calibri" w:eastAsia="Calibri" w:hAnsi="Calibri" w:cs="Calibri"/>
          <w:color w:val="000000"/>
        </w:rPr>
        <w:t>,</w:t>
      </w:r>
      <w:r w:rsidR="0068578E" w:rsidRPr="0068578E">
        <w:rPr>
          <w:rFonts w:ascii="Calibri" w:eastAsia="Calibri" w:hAnsi="Calibri" w:cs="Calibri"/>
          <w:color w:val="000000"/>
        </w:rPr>
        <w:t xml:space="preserve"> </w:t>
      </w:r>
      <w:r w:rsidR="0068578E" w:rsidRPr="00E81118">
        <w:rPr>
          <w:rFonts w:ascii="Calibri" w:eastAsia="Calibri" w:hAnsi="Calibri" w:cs="Calibri"/>
          <w:color w:val="000000"/>
        </w:rPr>
        <w:t>however</w:t>
      </w:r>
      <w:r w:rsidR="0068578E">
        <w:rPr>
          <w:rFonts w:ascii="Calibri" w:eastAsia="Calibri" w:hAnsi="Calibri" w:cs="Calibri"/>
          <w:color w:val="000000"/>
        </w:rPr>
        <w:t>,</w:t>
      </w:r>
      <w:r w:rsidRPr="00E81118">
        <w:rPr>
          <w:rFonts w:ascii="Calibri" w:eastAsia="Calibri" w:hAnsi="Calibri" w:cs="Calibri"/>
          <w:color w:val="000000"/>
        </w:rPr>
        <w:t xml:space="preserve"> requires </w:t>
      </w:r>
      <w:r w:rsidR="0068578E">
        <w:rPr>
          <w:rFonts w:ascii="Calibri" w:eastAsia="Calibri" w:hAnsi="Calibri" w:cs="Calibri"/>
          <w:color w:val="000000"/>
        </w:rPr>
        <w:t xml:space="preserve">an </w:t>
      </w:r>
      <w:r w:rsidRPr="00E81118">
        <w:rPr>
          <w:rFonts w:ascii="Calibri" w:eastAsia="Calibri" w:hAnsi="Calibri" w:cs="Calibri"/>
          <w:color w:val="000000"/>
        </w:rPr>
        <w:t xml:space="preserve">accreditation process.  The rest of the committees formed are considered part of the functional committees tasked to assist the Executive Committee </w:t>
      </w:r>
      <w:r w:rsidR="0068578E">
        <w:rPr>
          <w:rFonts w:ascii="Calibri" w:eastAsia="Calibri" w:hAnsi="Calibri" w:cs="Calibri"/>
          <w:color w:val="000000"/>
        </w:rPr>
        <w:t xml:space="preserve">in </w:t>
      </w:r>
      <w:r w:rsidRPr="00E81118">
        <w:rPr>
          <w:rFonts w:ascii="Calibri" w:eastAsia="Calibri" w:hAnsi="Calibri" w:cs="Calibri"/>
          <w:color w:val="000000"/>
        </w:rPr>
        <w:t>their functions particularly in the formulation of long-term plan</w:t>
      </w:r>
      <w:r w:rsidR="0068578E">
        <w:rPr>
          <w:rFonts w:ascii="Calibri" w:eastAsia="Calibri" w:hAnsi="Calibri" w:cs="Calibri"/>
          <w:color w:val="000000"/>
        </w:rPr>
        <w:t>s</w:t>
      </w:r>
      <w:r w:rsidRPr="00E81118">
        <w:rPr>
          <w:rFonts w:ascii="Calibri" w:eastAsia="Calibri" w:hAnsi="Calibri" w:cs="Calibri"/>
          <w:color w:val="000000"/>
        </w:rPr>
        <w:t xml:space="preserve"> and an</w:t>
      </w:r>
      <w:r w:rsidR="0068578E">
        <w:rPr>
          <w:rFonts w:ascii="Calibri" w:eastAsia="Calibri" w:hAnsi="Calibri" w:cs="Calibri"/>
          <w:color w:val="000000"/>
        </w:rPr>
        <w:t>nual investment plans for the C</w:t>
      </w:r>
      <w:r w:rsidRPr="00E81118">
        <w:rPr>
          <w:rFonts w:ascii="Calibri" w:eastAsia="Calibri" w:hAnsi="Calibri" w:cs="Calibri"/>
          <w:color w:val="000000"/>
        </w:rPr>
        <w:t>ity</w:t>
      </w:r>
      <w:r w:rsidR="0068578E">
        <w:rPr>
          <w:rFonts w:ascii="Calibri" w:eastAsia="Calibri" w:hAnsi="Calibri" w:cs="Calibri"/>
          <w:color w:val="000000"/>
        </w:rPr>
        <w:t>,</w:t>
      </w:r>
      <w:r w:rsidRPr="00E81118">
        <w:rPr>
          <w:rFonts w:ascii="Calibri" w:eastAsia="Calibri" w:hAnsi="Calibri" w:cs="Calibri"/>
          <w:color w:val="000000"/>
        </w:rPr>
        <w:t xml:space="preserve"> appraisal of projects and coordination and evaluation of development project implementation.</w:t>
      </w:r>
    </w:p>
    <w:p w:rsidR="0066092E" w:rsidRDefault="0066092E" w:rsidP="0066092E">
      <w:pPr>
        <w:autoSpaceDE w:val="0"/>
        <w:autoSpaceDN w:val="0"/>
        <w:adjustRightInd w:val="0"/>
        <w:spacing w:after="0" w:line="240" w:lineRule="auto"/>
        <w:jc w:val="both"/>
        <w:rPr>
          <w:rFonts w:ascii="Calibri" w:eastAsia="Calibri" w:hAnsi="Calibri" w:cs="Calibri"/>
        </w:rPr>
      </w:pPr>
    </w:p>
    <w:p w:rsidR="00061804" w:rsidRDefault="0066092E" w:rsidP="004A4416">
      <w:pPr>
        <w:autoSpaceDE w:val="0"/>
        <w:autoSpaceDN w:val="0"/>
        <w:adjustRightInd w:val="0"/>
        <w:spacing w:after="0" w:line="240" w:lineRule="auto"/>
        <w:jc w:val="both"/>
        <w:rPr>
          <w:rFonts w:ascii="Calibri" w:eastAsia="Calibri" w:hAnsi="Calibri" w:cs="Calibri"/>
          <w:color w:val="000000"/>
        </w:rPr>
      </w:pPr>
      <w:r w:rsidRPr="00E81118">
        <w:rPr>
          <w:rFonts w:ascii="Calibri" w:eastAsia="Calibri" w:hAnsi="Calibri" w:cs="Calibri"/>
        </w:rPr>
        <w:t xml:space="preserve">The </w:t>
      </w:r>
      <w:r w:rsidR="0068578E">
        <w:rPr>
          <w:rFonts w:ascii="Calibri" w:eastAsia="Calibri" w:hAnsi="Calibri" w:cs="Calibri"/>
        </w:rPr>
        <w:t>C</w:t>
      </w:r>
      <w:r w:rsidRPr="00E81118">
        <w:rPr>
          <w:rFonts w:ascii="Calibri" w:eastAsia="Calibri" w:hAnsi="Calibri" w:cs="Calibri"/>
        </w:rPr>
        <w:t xml:space="preserve">ouncil </w:t>
      </w:r>
      <w:r w:rsidR="009D7886">
        <w:rPr>
          <w:rFonts w:ascii="Calibri" w:eastAsia="Calibri" w:hAnsi="Calibri" w:cs="Calibri"/>
        </w:rPr>
        <w:t>ha</w:t>
      </w:r>
      <w:r w:rsidRPr="00E81118">
        <w:rPr>
          <w:rFonts w:ascii="Calibri" w:eastAsia="Calibri" w:hAnsi="Calibri" w:cs="Calibri"/>
        </w:rPr>
        <w:t>s</w:t>
      </w:r>
      <w:r w:rsidRPr="00E81118">
        <w:rPr>
          <w:rFonts w:ascii="Calibri" w:eastAsia="Calibri" w:hAnsi="Calibri" w:cs="Calibri"/>
          <w:color w:val="000000"/>
        </w:rPr>
        <w:t xml:space="preserve"> a secretariat headed by the City Planning and Development Office</w:t>
      </w:r>
      <w:r w:rsidR="0068578E">
        <w:rPr>
          <w:rFonts w:ascii="Calibri" w:eastAsia="Calibri" w:hAnsi="Calibri" w:cs="Calibri"/>
          <w:color w:val="000000"/>
        </w:rPr>
        <w:t xml:space="preserve"> which is</w:t>
      </w:r>
      <w:r w:rsidRPr="00E81118">
        <w:rPr>
          <w:rFonts w:ascii="Calibri" w:eastAsia="Calibri" w:hAnsi="Calibri" w:cs="Calibri"/>
          <w:color w:val="000000"/>
        </w:rPr>
        <w:t xml:space="preserve"> responsible for the documentation of meetings, report preparation and other assistance as maybe required.</w:t>
      </w:r>
      <w:bookmarkStart w:id="4" w:name="_Toc340139252"/>
    </w:p>
    <w:p w:rsidR="004A4416" w:rsidRPr="004A4416" w:rsidRDefault="004A4416" w:rsidP="004A4416">
      <w:pPr>
        <w:autoSpaceDE w:val="0"/>
        <w:autoSpaceDN w:val="0"/>
        <w:adjustRightInd w:val="0"/>
        <w:spacing w:after="0" w:line="240" w:lineRule="auto"/>
        <w:jc w:val="both"/>
        <w:rPr>
          <w:rFonts w:ascii="Calibri" w:eastAsia="Calibri" w:hAnsi="Calibri" w:cs="Calibri"/>
          <w:color w:val="000000"/>
        </w:rPr>
      </w:pPr>
    </w:p>
    <w:p w:rsidR="00E81118" w:rsidRDefault="009D7886" w:rsidP="00061804">
      <w:pPr>
        <w:spacing w:after="0" w:line="276" w:lineRule="auto"/>
        <w:rPr>
          <w:rFonts w:ascii="Calibri" w:eastAsia="Times New Roman" w:hAnsi="Calibri" w:cs="Times New Roman"/>
          <w:bCs/>
          <w:u w:val="single"/>
        </w:rPr>
      </w:pPr>
      <w:r w:rsidRPr="0066092E">
        <w:rPr>
          <w:rFonts w:ascii="Calibri" w:eastAsia="Times New Roman" w:hAnsi="Calibri" w:cs="Times New Roman"/>
          <w:bCs/>
          <w:u w:val="single"/>
        </w:rPr>
        <w:t xml:space="preserve">The </w:t>
      </w:r>
      <w:r w:rsidR="00061804">
        <w:rPr>
          <w:rFonts w:ascii="Calibri" w:eastAsia="Times New Roman" w:hAnsi="Calibri" w:cs="Times New Roman"/>
          <w:bCs/>
          <w:u w:val="single"/>
        </w:rPr>
        <w:t>City</w:t>
      </w:r>
      <w:r w:rsidRPr="0066092E">
        <w:rPr>
          <w:rFonts w:ascii="Calibri" w:eastAsia="Times New Roman" w:hAnsi="Calibri" w:cs="Times New Roman"/>
          <w:bCs/>
          <w:u w:val="single"/>
        </w:rPr>
        <w:t xml:space="preserve"> Planning and Development Office</w:t>
      </w:r>
      <w:bookmarkEnd w:id="4"/>
    </w:p>
    <w:p w:rsidR="00061804" w:rsidRDefault="00061804" w:rsidP="00061804">
      <w:pPr>
        <w:spacing w:after="0" w:line="276" w:lineRule="auto"/>
        <w:rPr>
          <w:rFonts w:ascii="Calibri" w:eastAsia="Times New Roman" w:hAnsi="Calibri" w:cs="Times New Roman"/>
          <w:bCs/>
          <w:color w:val="000000" w:themeColor="text1"/>
          <w:u w:val="single"/>
        </w:rPr>
      </w:pPr>
    </w:p>
    <w:p w:rsidR="00061804" w:rsidRPr="00061804" w:rsidRDefault="00061804" w:rsidP="004A4416">
      <w:pPr>
        <w:spacing w:after="0" w:line="240" w:lineRule="auto"/>
        <w:jc w:val="both"/>
        <w:rPr>
          <w:rFonts w:ascii="Calibri" w:eastAsia="Times New Roman" w:hAnsi="Calibri" w:cs="Times New Roman"/>
          <w:bCs/>
          <w:color w:val="000000" w:themeColor="text1"/>
        </w:rPr>
      </w:pPr>
      <w:r w:rsidRPr="00061804">
        <w:rPr>
          <w:rFonts w:ascii="Calibri" w:eastAsia="Times New Roman" w:hAnsi="Calibri" w:cs="Times New Roman"/>
          <w:bCs/>
          <w:color w:val="000000" w:themeColor="text1"/>
        </w:rPr>
        <w:t>Per the Local Government Code of 1991, the City Planning and Development Office</w:t>
      </w:r>
      <w:r w:rsidR="00F6669F">
        <w:rPr>
          <w:rFonts w:ascii="Calibri" w:eastAsia="Times New Roman" w:hAnsi="Calibri" w:cs="Times New Roman"/>
          <w:bCs/>
          <w:color w:val="000000" w:themeColor="text1"/>
        </w:rPr>
        <w:t xml:space="preserve"> (CPDO) </w:t>
      </w:r>
      <w:r>
        <w:rPr>
          <w:rFonts w:ascii="Calibri" w:eastAsia="Times New Roman" w:hAnsi="Calibri" w:cs="Times New Roman"/>
          <w:bCs/>
          <w:color w:val="000000" w:themeColor="text1"/>
        </w:rPr>
        <w:t>is mandated to:</w:t>
      </w:r>
    </w:p>
    <w:p w:rsidR="00061804" w:rsidRPr="00061804" w:rsidRDefault="00061804" w:rsidP="004F3C0C">
      <w:pPr>
        <w:pStyle w:val="ListParagraph"/>
        <w:numPr>
          <w:ilvl w:val="0"/>
          <w:numId w:val="12"/>
        </w:numPr>
        <w:spacing w:line="240" w:lineRule="auto"/>
        <w:ind w:left="360"/>
        <w:jc w:val="both"/>
        <w:rPr>
          <w:rFonts w:asciiTheme="minorHAnsi" w:eastAsia="Calibri" w:hAnsiTheme="minorHAnsi" w:cs="Times New Roman"/>
          <w:color w:val="000000" w:themeColor="text1"/>
        </w:rPr>
      </w:pPr>
      <w:r w:rsidRPr="00061804">
        <w:rPr>
          <w:rFonts w:asciiTheme="minorHAnsi" w:hAnsiTheme="minorHAnsi" w:cs="Helvetica"/>
          <w:color w:val="000000" w:themeColor="text1"/>
          <w:lang w:val="en-GB"/>
        </w:rPr>
        <w:t>Formulate integrated economic, social, physical and other development plans and policies for consideration of the local development council;</w:t>
      </w:r>
    </w:p>
    <w:p w:rsidR="00061804" w:rsidRPr="00061804" w:rsidRDefault="00061804" w:rsidP="004F3C0C">
      <w:pPr>
        <w:pStyle w:val="ListParagraph"/>
        <w:numPr>
          <w:ilvl w:val="0"/>
          <w:numId w:val="12"/>
        </w:numPr>
        <w:spacing w:line="240" w:lineRule="auto"/>
        <w:ind w:left="360"/>
        <w:jc w:val="both"/>
        <w:rPr>
          <w:rFonts w:asciiTheme="minorHAnsi" w:eastAsia="Calibri" w:hAnsiTheme="minorHAnsi" w:cs="Times New Roman"/>
          <w:color w:val="000000" w:themeColor="text1"/>
        </w:rPr>
      </w:pPr>
      <w:r w:rsidRPr="00061804">
        <w:rPr>
          <w:rFonts w:asciiTheme="minorHAnsi" w:hAnsiTheme="minorHAnsi" w:cs="Helvetica"/>
          <w:color w:val="000000" w:themeColor="text1"/>
          <w:lang w:val="en-GB"/>
        </w:rPr>
        <w:t>Conduct continuing studies, research and training programs necessary to evolve plans and programs for implementation</w:t>
      </w:r>
      <w:r>
        <w:rPr>
          <w:rFonts w:asciiTheme="minorHAnsi" w:hAnsiTheme="minorHAnsi" w:cs="Helvetica"/>
          <w:color w:val="000000" w:themeColor="text1"/>
          <w:lang w:val="en-GB"/>
        </w:rPr>
        <w:t>;</w:t>
      </w:r>
    </w:p>
    <w:p w:rsidR="00061804" w:rsidRPr="00061804" w:rsidRDefault="00061804" w:rsidP="004F3C0C">
      <w:pPr>
        <w:pStyle w:val="ListParagraph"/>
        <w:numPr>
          <w:ilvl w:val="0"/>
          <w:numId w:val="12"/>
        </w:numPr>
        <w:spacing w:line="240" w:lineRule="auto"/>
        <w:ind w:left="360"/>
        <w:jc w:val="both"/>
        <w:rPr>
          <w:rFonts w:asciiTheme="minorHAnsi" w:eastAsia="Calibri" w:hAnsiTheme="minorHAnsi" w:cs="Times New Roman"/>
          <w:color w:val="000000" w:themeColor="text1"/>
        </w:rPr>
      </w:pPr>
      <w:r w:rsidRPr="00061804">
        <w:rPr>
          <w:rFonts w:asciiTheme="minorHAnsi" w:hAnsiTheme="minorHAnsi" w:cs="Helvetica"/>
          <w:color w:val="000000" w:themeColor="text1"/>
          <w:lang w:val="en-GB"/>
        </w:rPr>
        <w:t>Integrate and coordinate all plans and studies undertaken by the local government unit's various functional groups or agencies; and</w:t>
      </w:r>
    </w:p>
    <w:p w:rsidR="009D7886" w:rsidRPr="004A4416" w:rsidRDefault="00061804" w:rsidP="004F3C0C">
      <w:pPr>
        <w:pStyle w:val="ListParagraph"/>
        <w:numPr>
          <w:ilvl w:val="0"/>
          <w:numId w:val="12"/>
        </w:numPr>
        <w:spacing w:line="240" w:lineRule="auto"/>
        <w:ind w:left="360"/>
        <w:jc w:val="both"/>
        <w:rPr>
          <w:rFonts w:ascii="Calibri" w:eastAsia="Calibri" w:hAnsi="Calibri" w:cs="Times New Roman"/>
        </w:rPr>
      </w:pPr>
      <w:r w:rsidRPr="00061804">
        <w:rPr>
          <w:rFonts w:asciiTheme="minorHAnsi" w:hAnsiTheme="minorHAnsi" w:cs="Helvetica"/>
          <w:color w:val="000000" w:themeColor="text1"/>
          <w:lang w:val="en-GB"/>
        </w:rPr>
        <w:t>Monitor and evaluate the implementation of the different development programs, projects and activities in the local government unit concerned in accordance with the approved development plan</w:t>
      </w:r>
    </w:p>
    <w:p w:rsidR="004A4416" w:rsidRPr="00061804" w:rsidRDefault="004A4416" w:rsidP="004A4416">
      <w:pPr>
        <w:pStyle w:val="ListParagraph"/>
        <w:spacing w:line="240" w:lineRule="auto"/>
        <w:ind w:left="360"/>
        <w:jc w:val="both"/>
        <w:rPr>
          <w:rFonts w:ascii="Calibri" w:eastAsia="Calibri" w:hAnsi="Calibri" w:cs="Times New Roman"/>
        </w:rPr>
      </w:pPr>
    </w:p>
    <w:p w:rsidR="004A4416" w:rsidRDefault="004A4416" w:rsidP="00061804">
      <w:pPr>
        <w:pStyle w:val="ListParagraph"/>
        <w:spacing w:line="276" w:lineRule="auto"/>
        <w:ind w:left="0"/>
        <w:rPr>
          <w:rFonts w:asciiTheme="minorHAnsi" w:hAnsiTheme="minorHAnsi" w:cs="Helvetica"/>
          <w:color w:val="000000" w:themeColor="text1"/>
          <w:lang w:val="en-GB"/>
        </w:rPr>
        <w:sectPr w:rsidR="004A4416" w:rsidSect="009924A7">
          <w:footerReference w:type="default" r:id="rId9"/>
          <w:footerReference w:type="first" r:id="rId10"/>
          <w:pgSz w:w="11909" w:h="16834" w:code="9"/>
          <w:pgMar w:top="1440" w:right="1440" w:bottom="1440" w:left="1728" w:header="720" w:footer="720" w:gutter="0"/>
          <w:pgNumType w:start="0"/>
          <w:cols w:space="720"/>
          <w:titlePg/>
          <w:docGrid w:linePitch="360"/>
        </w:sectPr>
      </w:pPr>
    </w:p>
    <w:p w:rsidR="00061804" w:rsidRPr="00061804" w:rsidRDefault="006A240D" w:rsidP="00061804">
      <w:pPr>
        <w:pStyle w:val="ListParagraph"/>
        <w:spacing w:line="276" w:lineRule="auto"/>
        <w:ind w:left="0"/>
        <w:rPr>
          <w:rFonts w:ascii="Calibri" w:eastAsia="Calibri" w:hAnsi="Calibri" w:cs="Times New Roman"/>
        </w:rPr>
      </w:pPr>
      <w:r>
        <w:rPr>
          <w:rFonts w:ascii="Calibri" w:eastAsia="Calibri" w:hAnsi="Calibri" w:cs="Times New Roman"/>
          <w:noProof/>
        </w:rPr>
        <w:lastRenderedPageBreak/>
        <w:drawing>
          <wp:anchor distT="0" distB="0" distL="114300" distR="114300" simplePos="0" relativeHeight="251673600" behindDoc="1" locked="0" layoutInCell="1" allowOverlap="1" wp14:anchorId="68146AED" wp14:editId="7256E5A1">
            <wp:simplePos x="0" y="0"/>
            <wp:positionH relativeFrom="column">
              <wp:posOffset>-159385</wp:posOffset>
            </wp:positionH>
            <wp:positionV relativeFrom="paragraph">
              <wp:posOffset>275752</wp:posOffset>
            </wp:positionV>
            <wp:extent cx="9005570" cy="5305425"/>
            <wp:effectExtent l="0" t="0" r="508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tional Chart(CPDCO).png"/>
                    <pic:cNvPicPr/>
                  </pic:nvPicPr>
                  <pic:blipFill>
                    <a:blip r:embed="rId11">
                      <a:extLst>
                        <a:ext uri="{28A0092B-C50C-407E-A947-70E740481C1C}">
                          <a14:useLocalDpi xmlns:a14="http://schemas.microsoft.com/office/drawing/2010/main" val="0"/>
                        </a:ext>
                      </a:extLst>
                    </a:blip>
                    <a:stretch>
                      <a:fillRect/>
                    </a:stretch>
                  </pic:blipFill>
                  <pic:spPr>
                    <a:xfrm>
                      <a:off x="0" y="0"/>
                      <a:ext cx="9005570" cy="5305425"/>
                    </a:xfrm>
                    <a:prstGeom prst="rect">
                      <a:avLst/>
                    </a:prstGeom>
                  </pic:spPr>
                </pic:pic>
              </a:graphicData>
            </a:graphic>
            <wp14:sizeRelH relativeFrom="page">
              <wp14:pctWidth>0</wp14:pctWidth>
            </wp14:sizeRelH>
            <wp14:sizeRelV relativeFrom="page">
              <wp14:pctHeight>0</wp14:pctHeight>
            </wp14:sizeRelV>
          </wp:anchor>
        </w:drawing>
      </w:r>
      <w:r w:rsidR="00061804">
        <w:rPr>
          <w:rFonts w:asciiTheme="minorHAnsi" w:hAnsiTheme="minorHAnsi" w:cs="Helvetica"/>
          <w:color w:val="000000" w:themeColor="text1"/>
          <w:lang w:val="en-GB"/>
        </w:rPr>
        <w:t xml:space="preserve">The </w:t>
      </w:r>
      <w:r w:rsidR="00F6669F">
        <w:rPr>
          <w:rFonts w:asciiTheme="minorHAnsi" w:hAnsiTheme="minorHAnsi" w:cs="Helvetica"/>
          <w:color w:val="000000" w:themeColor="text1"/>
          <w:lang w:val="en-GB"/>
        </w:rPr>
        <w:t>organizational structure of the CPDO is presented in the figure below:</w:t>
      </w:r>
    </w:p>
    <w:p w:rsidR="009D7886" w:rsidRDefault="006A240D" w:rsidP="00E81118">
      <w:pPr>
        <w:spacing w:line="276"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647E87CC" wp14:editId="652C785F">
                <wp:simplePos x="0" y="0"/>
                <wp:positionH relativeFrom="column">
                  <wp:posOffset>2881157</wp:posOffset>
                </wp:positionH>
                <wp:positionV relativeFrom="paragraph">
                  <wp:posOffset>5417820</wp:posOffset>
                </wp:positionV>
                <wp:extent cx="6177516" cy="2546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516" cy="254635"/>
                        </a:xfrm>
                        <a:prstGeom prst="rect">
                          <a:avLst/>
                        </a:prstGeom>
                        <a:solidFill>
                          <a:srgbClr val="FFFFFF"/>
                        </a:solidFill>
                        <a:ln w="9525">
                          <a:noFill/>
                          <a:miter lim="800000"/>
                          <a:headEnd/>
                          <a:tailEnd/>
                        </a:ln>
                      </wps:spPr>
                      <wps:txbx>
                        <w:txbxContent>
                          <w:p w:rsidR="00F6669F" w:rsidRPr="00F6669F" w:rsidRDefault="00F6669F" w:rsidP="00F6669F">
                            <w:pPr>
                              <w:spacing w:after="0"/>
                              <w:rPr>
                                <w:b/>
                                <w:sz w:val="20"/>
                                <w:szCs w:val="20"/>
                              </w:rPr>
                            </w:pPr>
                            <w:r w:rsidRPr="00F6669F">
                              <w:rPr>
                                <w:b/>
                                <w:sz w:val="20"/>
                                <w:szCs w:val="20"/>
                              </w:rPr>
                              <w:t>FIGURE 7.1 ORGANIZATIONAL STRUCTURE OF CPDO</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5pt;margin-top:426.6pt;width:486.4pt;height:20.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" stroked="f">
                <v:textbox style="mso-fit-shape-to-text:t">
                  <w:txbxContent>
                    <w:p w:rsidR="00F6669F" w:rsidRPr="00F6669F" w:rsidRDefault="00F6669F" w:rsidP="00F6669F">
                      <w:pPr>
                        <w:spacing w:after="0"/>
                        <w:rPr>
                          <w:b/>
                          <w:sz w:val="20"/>
                          <w:szCs w:val="20"/>
                        </w:rPr>
                      </w:pPr>
                      <w:r w:rsidRPr="00F6669F">
                        <w:rPr>
                          <w:b/>
                          <w:sz w:val="20"/>
                          <w:szCs w:val="20"/>
                        </w:rPr>
                        <w:t>FIGURE 7.1 ORGANIZATIONAL STRUCTURE OF CPDO</w:t>
                      </w:r>
                    </w:p>
                  </w:txbxContent>
                </v:textbox>
              </v:shape>
            </w:pict>
          </mc:Fallback>
        </mc:AlternateContent>
      </w:r>
    </w:p>
    <w:p w:rsidR="004A4416" w:rsidRDefault="004A4416" w:rsidP="00E81118">
      <w:pPr>
        <w:spacing w:line="276" w:lineRule="auto"/>
        <w:rPr>
          <w:rFonts w:ascii="Calibri" w:eastAsia="Calibri" w:hAnsi="Calibri" w:cs="Times New Roman"/>
        </w:rPr>
        <w:sectPr w:rsidR="004A4416" w:rsidSect="004A4416">
          <w:pgSz w:w="16834" w:h="11909" w:orient="landscape" w:code="9"/>
          <w:pgMar w:top="1440" w:right="1440" w:bottom="1728" w:left="1440" w:header="720" w:footer="720" w:gutter="0"/>
          <w:pgNumType w:start="0"/>
          <w:cols w:space="720"/>
          <w:titlePg/>
          <w:docGrid w:linePitch="360"/>
        </w:sectPr>
      </w:pPr>
    </w:p>
    <w:p w:rsidR="00E81118" w:rsidRPr="00F6669F" w:rsidRDefault="00F6669F" w:rsidP="004F3C0C">
      <w:pPr>
        <w:keepNext/>
        <w:keepLines/>
        <w:numPr>
          <w:ilvl w:val="1"/>
          <w:numId w:val="7"/>
        </w:numPr>
        <w:pBdr>
          <w:bottom w:val="single" w:sz="4" w:space="1" w:color="auto"/>
        </w:pBdr>
        <w:spacing w:before="200" w:after="0" w:line="276" w:lineRule="auto"/>
        <w:ind w:left="720"/>
        <w:outlineLvl w:val="1"/>
        <w:rPr>
          <w:rFonts w:eastAsia="Times New Roman" w:cs="Times New Roman"/>
          <w:b/>
          <w:bCs/>
          <w:color w:val="7F7F7F"/>
          <w:sz w:val="24"/>
          <w:szCs w:val="24"/>
        </w:rPr>
      </w:pPr>
      <w:bookmarkStart w:id="5" w:name="_Toc340139253"/>
      <w:r w:rsidRPr="00F6669F">
        <w:rPr>
          <w:rFonts w:eastAsia="Times New Roman" w:cs="Times New Roman"/>
          <w:b/>
          <w:bCs/>
          <w:color w:val="7F7F7F"/>
          <w:sz w:val="24"/>
          <w:szCs w:val="24"/>
        </w:rPr>
        <w:lastRenderedPageBreak/>
        <w:t>LOCAL FISCAL MANAGEMENT</w:t>
      </w:r>
      <w:bookmarkEnd w:id="5"/>
    </w:p>
    <w:p w:rsidR="00E81118" w:rsidRDefault="00E81118" w:rsidP="00E81118">
      <w:pPr>
        <w:spacing w:after="0" w:line="240" w:lineRule="auto"/>
        <w:jc w:val="both"/>
        <w:rPr>
          <w:rFonts w:ascii="Calibri" w:eastAsia="Calibri" w:hAnsi="Calibri" w:cs="Times New Roman"/>
        </w:rPr>
      </w:pPr>
    </w:p>
    <w:p w:rsidR="00F6669F" w:rsidRPr="00E81118" w:rsidRDefault="00F6669F" w:rsidP="00FC15F2">
      <w:pPr>
        <w:pStyle w:val="Heading3"/>
        <w:numPr>
          <w:ilvl w:val="2"/>
          <w:numId w:val="7"/>
        </w:numPr>
        <w:pBdr>
          <w:top w:val="dotted" w:sz="4" w:space="1" w:color="auto"/>
          <w:bottom w:val="dotted" w:sz="4" w:space="1" w:color="auto"/>
        </w:pBdr>
        <w:ind w:left="1530" w:hanging="810"/>
        <w:rPr>
          <w:rFonts w:eastAsia="Times New Roman"/>
        </w:rPr>
      </w:pPr>
      <w:r>
        <w:rPr>
          <w:rFonts w:eastAsia="Times New Roman"/>
        </w:rPr>
        <w:t>status of financial health</w:t>
      </w:r>
    </w:p>
    <w:p w:rsidR="00F6669F" w:rsidRPr="00E81118" w:rsidRDefault="00F6669F" w:rsidP="00E81118">
      <w:pPr>
        <w:spacing w:after="0" w:line="240" w:lineRule="auto"/>
        <w:jc w:val="both"/>
        <w:rPr>
          <w:rFonts w:ascii="Calibri" w:eastAsia="Calibri" w:hAnsi="Calibri" w:cs="Times New Roman"/>
        </w:rPr>
      </w:pPr>
    </w:p>
    <w:p w:rsidR="00E81118" w:rsidRDefault="00E81118" w:rsidP="00AE169E">
      <w:pPr>
        <w:spacing w:line="240" w:lineRule="auto"/>
        <w:contextualSpacing/>
        <w:jc w:val="both"/>
        <w:rPr>
          <w:rFonts w:ascii="Calibri" w:eastAsia="Calibri" w:hAnsi="Calibri" w:cs="Calibri"/>
        </w:rPr>
      </w:pPr>
      <w:r w:rsidRPr="00E81118">
        <w:rPr>
          <w:rFonts w:ascii="Calibri" w:eastAsia="Calibri" w:hAnsi="Calibri" w:cs="Calibri"/>
        </w:rPr>
        <w:t>The City has been operating on a positive fiscal balance for the past three years.  T</w:t>
      </w:r>
      <w:r w:rsidR="003A30D1">
        <w:rPr>
          <w:rFonts w:ascii="Calibri" w:eastAsia="Calibri" w:hAnsi="Calibri" w:cs="Calibri"/>
        </w:rPr>
        <w:t>he following t</w:t>
      </w:r>
      <w:r w:rsidRPr="00E81118">
        <w:rPr>
          <w:rFonts w:ascii="Calibri" w:eastAsia="Calibri" w:hAnsi="Calibri" w:cs="Calibri"/>
        </w:rPr>
        <w:t xml:space="preserve">able shows the breakdown of revenues vis-à-vis expenditures of the City from </w:t>
      </w:r>
      <w:r w:rsidR="00D62C6A">
        <w:rPr>
          <w:rFonts w:ascii="Calibri" w:eastAsia="Calibri" w:hAnsi="Calibri" w:cs="Calibri"/>
        </w:rPr>
        <w:t xml:space="preserve">year </w:t>
      </w:r>
      <w:r w:rsidRPr="00E81118">
        <w:rPr>
          <w:rFonts w:ascii="Calibri" w:eastAsia="Calibri" w:hAnsi="Calibri" w:cs="Calibri"/>
        </w:rPr>
        <w:t>2008</w:t>
      </w:r>
      <w:r w:rsidR="00D62C6A">
        <w:rPr>
          <w:rFonts w:ascii="Calibri" w:eastAsia="Calibri" w:hAnsi="Calibri" w:cs="Calibri"/>
        </w:rPr>
        <w:t xml:space="preserve"> to </w:t>
      </w:r>
      <w:r w:rsidRPr="00E81118">
        <w:rPr>
          <w:rFonts w:ascii="Calibri" w:eastAsia="Calibri" w:hAnsi="Calibri" w:cs="Calibri"/>
        </w:rPr>
        <w:t xml:space="preserve">2011.  </w:t>
      </w:r>
    </w:p>
    <w:p w:rsidR="00AE169E" w:rsidRPr="00E81118" w:rsidRDefault="00AE169E" w:rsidP="00AE169E">
      <w:pPr>
        <w:spacing w:line="240" w:lineRule="auto"/>
        <w:contextualSpacing/>
        <w:jc w:val="both"/>
        <w:rPr>
          <w:rFonts w:ascii="Calibri" w:eastAsia="Calibri" w:hAnsi="Calibri" w:cs="Calibri"/>
        </w:rPr>
      </w:pPr>
    </w:p>
    <w:tbl>
      <w:tblPr>
        <w:tblW w:w="8801" w:type="dxa"/>
        <w:tblInd w:w="108"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615"/>
        <w:gridCol w:w="1696"/>
        <w:gridCol w:w="1615"/>
        <w:gridCol w:w="1625"/>
      </w:tblGrid>
      <w:tr w:rsidR="00AE169E" w:rsidRPr="00E81118" w:rsidTr="00AE169E">
        <w:trPr>
          <w:trHeight w:val="368"/>
        </w:trPr>
        <w:tc>
          <w:tcPr>
            <w:tcW w:w="8801" w:type="dxa"/>
            <w:gridSpan w:val="5"/>
            <w:tcBorders>
              <w:top w:val="nil"/>
              <w:left w:val="nil"/>
              <w:bottom w:val="single" w:sz="4" w:space="0" w:color="632423" w:themeColor="accent2" w:themeShade="80"/>
              <w:right w:val="nil"/>
            </w:tcBorders>
            <w:shd w:val="clear" w:color="auto" w:fill="auto"/>
            <w:vAlign w:val="bottom"/>
          </w:tcPr>
          <w:p w:rsidR="00AE169E" w:rsidRPr="00AE169E" w:rsidRDefault="00AE169E" w:rsidP="00AE169E">
            <w:pPr>
              <w:spacing w:after="120" w:line="240" w:lineRule="auto"/>
              <w:jc w:val="center"/>
              <w:rPr>
                <w:rFonts w:ascii="Calibri" w:eastAsia="Calibri" w:hAnsi="Calibri" w:cs="Calibri"/>
                <w:b/>
                <w:bCs/>
                <w:sz w:val="20"/>
                <w:szCs w:val="20"/>
                <w:u w:val="single"/>
                <w:lang w:val="en-PH" w:eastAsia="en-PH"/>
              </w:rPr>
            </w:pPr>
            <w:r w:rsidRPr="00AE169E">
              <w:rPr>
                <w:rFonts w:eastAsia="Calibri" w:cs="Times New Roman"/>
                <w:b/>
                <w:sz w:val="18"/>
                <w:szCs w:val="18"/>
              </w:rPr>
              <w:t xml:space="preserve">TABLE </w:t>
            </w:r>
            <w:r>
              <w:rPr>
                <w:rFonts w:eastAsia="Calibri" w:cs="Times New Roman"/>
                <w:b/>
                <w:sz w:val="18"/>
                <w:szCs w:val="18"/>
              </w:rPr>
              <w:t>7.</w:t>
            </w:r>
            <w:r w:rsidRPr="00AE169E">
              <w:rPr>
                <w:rFonts w:eastAsia="Calibri" w:cs="Times New Roman"/>
                <w:b/>
                <w:sz w:val="18"/>
                <w:szCs w:val="18"/>
              </w:rPr>
              <w:t>1</w:t>
            </w:r>
            <w:r>
              <w:rPr>
                <w:rFonts w:eastAsia="Calibri" w:cs="Times New Roman"/>
                <w:b/>
                <w:sz w:val="18"/>
                <w:szCs w:val="18"/>
              </w:rPr>
              <w:t xml:space="preserve">  </w:t>
            </w:r>
            <w:r w:rsidRPr="00AE169E">
              <w:rPr>
                <w:rFonts w:eastAsia="Calibri" w:cs="Times New Roman"/>
                <w:b/>
                <w:sz w:val="18"/>
                <w:szCs w:val="18"/>
              </w:rPr>
              <w:t>SAN CARLOS CITY NET FISCAL BALANCE</w:t>
            </w:r>
            <w:r>
              <w:rPr>
                <w:rFonts w:eastAsia="Calibri" w:cs="Times New Roman"/>
                <w:b/>
                <w:sz w:val="18"/>
                <w:szCs w:val="18"/>
              </w:rPr>
              <w:t xml:space="preserve"> (</w:t>
            </w:r>
            <w:r w:rsidRPr="00AE169E">
              <w:rPr>
                <w:rFonts w:eastAsia="Calibri" w:cs="Times New Roman"/>
                <w:b/>
                <w:sz w:val="18"/>
                <w:szCs w:val="18"/>
              </w:rPr>
              <w:t>2008-2011</w:t>
            </w:r>
            <w:r>
              <w:rPr>
                <w:rFonts w:eastAsia="Calibri" w:cs="Times New Roman"/>
                <w:b/>
                <w:sz w:val="18"/>
                <w:szCs w:val="18"/>
              </w:rPr>
              <w:t>)</w:t>
            </w:r>
          </w:p>
        </w:tc>
      </w:tr>
      <w:tr w:rsidR="00E81118" w:rsidRPr="00E81118" w:rsidTr="003A30D1">
        <w:trPr>
          <w:trHeight w:val="197"/>
        </w:trPr>
        <w:tc>
          <w:tcPr>
            <w:tcW w:w="2250" w:type="dxa"/>
            <w:tcBorders>
              <w:top w:val="single" w:sz="4" w:space="0" w:color="632423" w:themeColor="accent2" w:themeShade="80"/>
              <w:bottom w:val="single" w:sz="4" w:space="0" w:color="auto"/>
            </w:tcBorders>
            <w:shd w:val="clear" w:color="auto" w:fill="BFBFBF"/>
            <w:vAlign w:val="bottom"/>
            <w:hideMark/>
          </w:tcPr>
          <w:p w:rsidR="00E81118" w:rsidRPr="00AE169E" w:rsidRDefault="00E81118" w:rsidP="00AE169E">
            <w:pPr>
              <w:spacing w:after="0" w:line="276" w:lineRule="auto"/>
              <w:jc w:val="center"/>
              <w:rPr>
                <w:rFonts w:ascii="Calibri" w:eastAsia="Calibri" w:hAnsi="Calibri" w:cs="Calibri"/>
                <w:b/>
                <w:bCs/>
                <w:sz w:val="20"/>
                <w:szCs w:val="20"/>
                <w:lang w:val="en-PH" w:eastAsia="en-PH"/>
              </w:rPr>
            </w:pPr>
            <w:r w:rsidRPr="00AE169E">
              <w:rPr>
                <w:rFonts w:ascii="Calibri" w:eastAsia="Calibri" w:hAnsi="Calibri" w:cs="Calibri"/>
                <w:b/>
                <w:bCs/>
                <w:sz w:val="20"/>
                <w:szCs w:val="20"/>
                <w:lang w:val="en-PH" w:eastAsia="en-PH"/>
              </w:rPr>
              <w:t>Description</w:t>
            </w:r>
          </w:p>
        </w:tc>
        <w:tc>
          <w:tcPr>
            <w:tcW w:w="1615" w:type="dxa"/>
            <w:tcBorders>
              <w:top w:val="single" w:sz="4" w:space="0" w:color="632423" w:themeColor="accent2" w:themeShade="80"/>
              <w:bottom w:val="single" w:sz="4" w:space="0" w:color="auto"/>
            </w:tcBorders>
            <w:shd w:val="clear" w:color="auto" w:fill="BFBFBF"/>
            <w:noWrap/>
            <w:vAlign w:val="bottom"/>
            <w:hideMark/>
          </w:tcPr>
          <w:p w:rsidR="00E81118" w:rsidRPr="00AE169E" w:rsidRDefault="00E81118" w:rsidP="00AE169E">
            <w:pPr>
              <w:spacing w:after="0" w:line="276" w:lineRule="auto"/>
              <w:jc w:val="center"/>
              <w:rPr>
                <w:rFonts w:ascii="Calibri" w:eastAsia="Calibri" w:hAnsi="Calibri" w:cs="Calibri"/>
                <w:b/>
                <w:bCs/>
                <w:sz w:val="20"/>
                <w:szCs w:val="20"/>
                <w:lang w:val="en-PH" w:eastAsia="en-PH"/>
              </w:rPr>
            </w:pPr>
            <w:r w:rsidRPr="00AE169E">
              <w:rPr>
                <w:rFonts w:ascii="Calibri" w:eastAsia="Calibri" w:hAnsi="Calibri" w:cs="Calibri"/>
                <w:b/>
                <w:bCs/>
                <w:sz w:val="20"/>
                <w:szCs w:val="20"/>
                <w:lang w:val="en-PH" w:eastAsia="en-PH"/>
              </w:rPr>
              <w:t>2011</w:t>
            </w:r>
          </w:p>
        </w:tc>
        <w:tc>
          <w:tcPr>
            <w:tcW w:w="1696" w:type="dxa"/>
            <w:tcBorders>
              <w:top w:val="single" w:sz="4" w:space="0" w:color="632423" w:themeColor="accent2" w:themeShade="80"/>
              <w:bottom w:val="single" w:sz="4" w:space="0" w:color="auto"/>
            </w:tcBorders>
            <w:shd w:val="clear" w:color="auto" w:fill="BFBFBF"/>
            <w:noWrap/>
            <w:vAlign w:val="bottom"/>
            <w:hideMark/>
          </w:tcPr>
          <w:p w:rsidR="00E81118" w:rsidRPr="00AE169E" w:rsidRDefault="00E81118" w:rsidP="00AE169E">
            <w:pPr>
              <w:spacing w:after="0" w:line="276" w:lineRule="auto"/>
              <w:jc w:val="center"/>
              <w:rPr>
                <w:rFonts w:ascii="Calibri" w:eastAsia="Calibri" w:hAnsi="Calibri" w:cs="Calibri"/>
                <w:b/>
                <w:bCs/>
                <w:sz w:val="20"/>
                <w:szCs w:val="20"/>
                <w:lang w:val="en-PH" w:eastAsia="en-PH"/>
              </w:rPr>
            </w:pPr>
            <w:r w:rsidRPr="00AE169E">
              <w:rPr>
                <w:rFonts w:ascii="Calibri" w:eastAsia="Calibri" w:hAnsi="Calibri" w:cs="Calibri"/>
                <w:b/>
                <w:bCs/>
                <w:sz w:val="20"/>
                <w:szCs w:val="20"/>
                <w:lang w:val="en-PH" w:eastAsia="en-PH"/>
              </w:rPr>
              <w:t>2010</w:t>
            </w:r>
          </w:p>
        </w:tc>
        <w:tc>
          <w:tcPr>
            <w:tcW w:w="1615" w:type="dxa"/>
            <w:tcBorders>
              <w:top w:val="single" w:sz="4" w:space="0" w:color="632423" w:themeColor="accent2" w:themeShade="80"/>
              <w:bottom w:val="single" w:sz="4" w:space="0" w:color="auto"/>
            </w:tcBorders>
            <w:shd w:val="clear" w:color="auto" w:fill="BFBFBF"/>
            <w:noWrap/>
            <w:vAlign w:val="bottom"/>
            <w:hideMark/>
          </w:tcPr>
          <w:p w:rsidR="00E81118" w:rsidRPr="00AE169E" w:rsidRDefault="00E81118" w:rsidP="00AE169E">
            <w:pPr>
              <w:spacing w:after="0" w:line="276" w:lineRule="auto"/>
              <w:jc w:val="center"/>
              <w:rPr>
                <w:rFonts w:ascii="Calibri" w:eastAsia="Calibri" w:hAnsi="Calibri" w:cs="Calibri"/>
                <w:b/>
                <w:bCs/>
                <w:sz w:val="20"/>
                <w:szCs w:val="20"/>
                <w:lang w:val="en-PH" w:eastAsia="en-PH"/>
              </w:rPr>
            </w:pPr>
            <w:r w:rsidRPr="00AE169E">
              <w:rPr>
                <w:rFonts w:ascii="Calibri" w:eastAsia="Calibri" w:hAnsi="Calibri" w:cs="Calibri"/>
                <w:b/>
                <w:bCs/>
                <w:sz w:val="20"/>
                <w:szCs w:val="20"/>
                <w:lang w:val="en-PH" w:eastAsia="en-PH"/>
              </w:rPr>
              <w:t>2009</w:t>
            </w:r>
          </w:p>
        </w:tc>
        <w:tc>
          <w:tcPr>
            <w:tcW w:w="1625" w:type="dxa"/>
            <w:tcBorders>
              <w:top w:val="single" w:sz="4" w:space="0" w:color="632423" w:themeColor="accent2" w:themeShade="80"/>
              <w:bottom w:val="single" w:sz="4" w:space="0" w:color="auto"/>
            </w:tcBorders>
            <w:shd w:val="clear" w:color="auto" w:fill="BFBFBF"/>
            <w:noWrap/>
            <w:vAlign w:val="bottom"/>
            <w:hideMark/>
          </w:tcPr>
          <w:p w:rsidR="00E81118" w:rsidRPr="00AE169E" w:rsidRDefault="00E81118" w:rsidP="00AE169E">
            <w:pPr>
              <w:spacing w:after="0" w:line="276" w:lineRule="auto"/>
              <w:jc w:val="center"/>
              <w:rPr>
                <w:rFonts w:ascii="Calibri" w:eastAsia="Calibri" w:hAnsi="Calibri" w:cs="Calibri"/>
                <w:b/>
                <w:bCs/>
                <w:sz w:val="20"/>
                <w:szCs w:val="20"/>
                <w:lang w:val="en-PH" w:eastAsia="en-PH"/>
              </w:rPr>
            </w:pPr>
            <w:r w:rsidRPr="00AE169E">
              <w:rPr>
                <w:rFonts w:ascii="Calibri" w:eastAsia="Calibri" w:hAnsi="Calibri" w:cs="Calibri"/>
                <w:b/>
                <w:bCs/>
                <w:sz w:val="20"/>
                <w:szCs w:val="20"/>
                <w:lang w:val="en-PH" w:eastAsia="en-PH"/>
              </w:rPr>
              <w:t>2008</w:t>
            </w:r>
          </w:p>
        </w:tc>
      </w:tr>
      <w:tr w:rsidR="00E81118" w:rsidRPr="003A30D1" w:rsidTr="003A30D1">
        <w:trPr>
          <w:trHeight w:val="321"/>
        </w:trPr>
        <w:tc>
          <w:tcPr>
            <w:tcW w:w="2250" w:type="dxa"/>
            <w:tcBorders>
              <w:bottom w:val="single" w:sz="4" w:space="0" w:color="auto"/>
            </w:tcBorders>
            <w:shd w:val="clear" w:color="auto" w:fill="auto"/>
            <w:vAlign w:val="bottom"/>
            <w:hideMark/>
          </w:tcPr>
          <w:p w:rsidR="00E81118" w:rsidRPr="003A30D1" w:rsidRDefault="00E81118" w:rsidP="00AE169E">
            <w:pPr>
              <w:spacing w:after="0" w:line="276" w:lineRule="auto"/>
              <w:jc w:val="both"/>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 xml:space="preserve"> Revenues </w:t>
            </w:r>
          </w:p>
        </w:tc>
        <w:tc>
          <w:tcPr>
            <w:tcW w:w="1615" w:type="dxa"/>
            <w:tcBorders>
              <w:bottom w:val="single" w:sz="4" w:space="0" w:color="auto"/>
            </w:tcBorders>
            <w:shd w:val="clear" w:color="auto" w:fill="auto"/>
            <w:noWrap/>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635,085,082.22</w:t>
            </w:r>
          </w:p>
        </w:tc>
        <w:tc>
          <w:tcPr>
            <w:tcW w:w="1696" w:type="dxa"/>
            <w:tcBorders>
              <w:bottom w:val="single" w:sz="4" w:space="0" w:color="auto"/>
            </w:tcBorders>
            <w:shd w:val="clear" w:color="auto" w:fill="auto"/>
            <w:noWrap/>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583,434,544.02</w:t>
            </w:r>
          </w:p>
        </w:tc>
        <w:tc>
          <w:tcPr>
            <w:tcW w:w="1615" w:type="dxa"/>
            <w:tcBorders>
              <w:bottom w:val="single" w:sz="4" w:space="0" w:color="auto"/>
            </w:tcBorders>
            <w:shd w:val="clear" w:color="auto" w:fill="auto"/>
            <w:noWrap/>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534,657,736.07</w:t>
            </w:r>
          </w:p>
        </w:tc>
        <w:tc>
          <w:tcPr>
            <w:tcW w:w="1625" w:type="dxa"/>
            <w:tcBorders>
              <w:bottom w:val="single" w:sz="4" w:space="0" w:color="auto"/>
            </w:tcBorders>
            <w:shd w:val="clear" w:color="auto" w:fill="auto"/>
            <w:noWrap/>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429,284,878.03</w:t>
            </w:r>
          </w:p>
        </w:tc>
      </w:tr>
      <w:tr w:rsidR="00E81118" w:rsidRPr="003A30D1" w:rsidTr="003A30D1">
        <w:trPr>
          <w:trHeight w:val="321"/>
        </w:trPr>
        <w:tc>
          <w:tcPr>
            <w:tcW w:w="2250" w:type="dxa"/>
            <w:tcBorders>
              <w:bottom w:val="single" w:sz="4" w:space="0" w:color="auto"/>
            </w:tcBorders>
            <w:shd w:val="clear" w:color="auto" w:fill="auto"/>
            <w:vAlign w:val="bottom"/>
            <w:hideMark/>
          </w:tcPr>
          <w:p w:rsidR="00E81118" w:rsidRPr="003A30D1" w:rsidRDefault="00E81118" w:rsidP="00AE169E">
            <w:pPr>
              <w:spacing w:after="0" w:line="276" w:lineRule="auto"/>
              <w:jc w:val="both"/>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 xml:space="preserve"> Expenditures </w:t>
            </w:r>
          </w:p>
        </w:tc>
        <w:tc>
          <w:tcPr>
            <w:tcW w:w="161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452,292,159.33</w:t>
            </w:r>
          </w:p>
        </w:tc>
        <w:tc>
          <w:tcPr>
            <w:tcW w:w="1696"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421,441,004.38</w:t>
            </w:r>
          </w:p>
        </w:tc>
        <w:tc>
          <w:tcPr>
            <w:tcW w:w="161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376,596,096.53</w:t>
            </w:r>
          </w:p>
        </w:tc>
        <w:tc>
          <w:tcPr>
            <w:tcW w:w="162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315,892,873.57</w:t>
            </w:r>
          </w:p>
        </w:tc>
      </w:tr>
      <w:tr w:rsidR="00E81118" w:rsidRPr="003A30D1" w:rsidTr="003A30D1">
        <w:trPr>
          <w:trHeight w:val="323"/>
        </w:trPr>
        <w:tc>
          <w:tcPr>
            <w:tcW w:w="2250" w:type="dxa"/>
            <w:tcBorders>
              <w:bottom w:val="single" w:sz="4" w:space="0" w:color="auto"/>
            </w:tcBorders>
            <w:shd w:val="clear" w:color="auto" w:fill="auto"/>
            <w:vAlign w:val="center"/>
            <w:hideMark/>
          </w:tcPr>
          <w:p w:rsidR="00E81118" w:rsidRPr="003A30D1" w:rsidRDefault="00E81118" w:rsidP="00AE169E">
            <w:pPr>
              <w:spacing w:after="0" w:line="276" w:lineRule="auto"/>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Net Balance</w:t>
            </w:r>
          </w:p>
        </w:tc>
        <w:tc>
          <w:tcPr>
            <w:tcW w:w="161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182,792,922.89</w:t>
            </w:r>
          </w:p>
        </w:tc>
        <w:tc>
          <w:tcPr>
            <w:tcW w:w="1696"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161,993,539.64</w:t>
            </w:r>
          </w:p>
        </w:tc>
        <w:tc>
          <w:tcPr>
            <w:tcW w:w="161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158,061,639.54</w:t>
            </w:r>
          </w:p>
        </w:tc>
        <w:tc>
          <w:tcPr>
            <w:tcW w:w="1625" w:type="dxa"/>
            <w:tcBorders>
              <w:bottom w:val="single" w:sz="4" w:space="0" w:color="auto"/>
            </w:tcBorders>
            <w:shd w:val="clear" w:color="auto" w:fill="auto"/>
            <w:vAlign w:val="center"/>
            <w:hideMark/>
          </w:tcPr>
          <w:p w:rsidR="00E81118" w:rsidRPr="003A30D1" w:rsidRDefault="00E81118" w:rsidP="00AE169E">
            <w:pPr>
              <w:spacing w:after="0" w:line="276" w:lineRule="auto"/>
              <w:jc w:val="center"/>
              <w:rPr>
                <w:rFonts w:ascii="Calibri" w:eastAsia="Calibri" w:hAnsi="Calibri" w:cs="Calibri"/>
                <w:bCs/>
                <w:sz w:val="20"/>
                <w:szCs w:val="20"/>
                <w:lang w:val="en-PH" w:eastAsia="en-PH"/>
              </w:rPr>
            </w:pPr>
            <w:r w:rsidRPr="003A30D1">
              <w:rPr>
                <w:rFonts w:ascii="Calibri" w:eastAsia="Calibri" w:hAnsi="Calibri" w:cs="Calibri"/>
                <w:bCs/>
                <w:sz w:val="20"/>
                <w:szCs w:val="20"/>
                <w:lang w:val="en-PH" w:eastAsia="en-PH"/>
              </w:rPr>
              <w:t>113,392,004.46</w:t>
            </w:r>
          </w:p>
        </w:tc>
      </w:tr>
    </w:tbl>
    <w:p w:rsidR="00E81118" w:rsidRPr="00E81118" w:rsidRDefault="00E81118" w:rsidP="00E81118">
      <w:pPr>
        <w:spacing w:after="0" w:line="240" w:lineRule="auto"/>
        <w:ind w:left="720"/>
        <w:jc w:val="both"/>
        <w:rPr>
          <w:rFonts w:ascii="Calibri" w:eastAsia="Calibri" w:hAnsi="Calibri" w:cs="Times New Roman"/>
        </w:rPr>
      </w:pPr>
    </w:p>
    <w:p w:rsidR="004F3C0C" w:rsidRPr="00E81118" w:rsidRDefault="00E81118" w:rsidP="00427663">
      <w:pPr>
        <w:spacing w:line="276" w:lineRule="auto"/>
        <w:jc w:val="both"/>
        <w:rPr>
          <w:rFonts w:ascii="Calibri" w:eastAsia="Calibri" w:hAnsi="Calibri" w:cs="Times New Roman"/>
        </w:rPr>
      </w:pPr>
      <w:r w:rsidRPr="00E81118">
        <w:rPr>
          <w:rFonts w:ascii="Calibri" w:eastAsia="Calibri" w:hAnsi="Calibri" w:cs="Times New Roman"/>
        </w:rPr>
        <w:t>Furthermore, the City did not have contractual obligations for debt servicing for the past three years.</w:t>
      </w:r>
    </w:p>
    <w:p w:rsidR="00E81118" w:rsidRPr="00AE169E" w:rsidRDefault="00AE169E" w:rsidP="00AE169E">
      <w:pPr>
        <w:keepNext/>
        <w:keepLines/>
        <w:numPr>
          <w:ilvl w:val="2"/>
          <w:numId w:val="7"/>
        </w:numPr>
        <w:pBdr>
          <w:top w:val="dotted" w:sz="4" w:space="1" w:color="auto"/>
          <w:bottom w:val="dotted" w:sz="4" w:space="1" w:color="auto"/>
        </w:pBdr>
        <w:spacing w:before="200" w:after="0" w:line="276" w:lineRule="auto"/>
        <w:outlineLvl w:val="2"/>
        <w:rPr>
          <w:rFonts w:eastAsia="Times New Roman" w:cs="Times New Roman"/>
          <w:bCs/>
          <w:i/>
          <w:color w:val="808080" w:themeColor="background1" w:themeShade="80"/>
          <w:sz w:val="24"/>
          <w:szCs w:val="24"/>
        </w:rPr>
      </w:pPr>
      <w:bookmarkStart w:id="6" w:name="_Toc340139255"/>
      <w:r w:rsidRPr="00AE169E">
        <w:rPr>
          <w:rFonts w:eastAsia="Times New Roman" w:cs="Times New Roman"/>
          <w:bCs/>
          <w:i/>
          <w:color w:val="808080" w:themeColor="background1" w:themeShade="80"/>
          <w:sz w:val="24"/>
          <w:szCs w:val="24"/>
        </w:rPr>
        <w:t>REVENUES BY SOURCE</w:t>
      </w:r>
      <w:bookmarkEnd w:id="6"/>
    </w:p>
    <w:p w:rsidR="00AE169E" w:rsidRDefault="00AE169E" w:rsidP="00AE169E">
      <w:pPr>
        <w:tabs>
          <w:tab w:val="left" w:pos="900"/>
          <w:tab w:val="left" w:pos="1080"/>
        </w:tabs>
        <w:spacing w:after="0" w:line="276" w:lineRule="auto"/>
        <w:ind w:left="1224"/>
        <w:jc w:val="both"/>
        <w:rPr>
          <w:rFonts w:ascii="Calibri" w:eastAsia="Calibri" w:hAnsi="Calibri" w:cs="Calibri"/>
        </w:rPr>
      </w:pPr>
    </w:p>
    <w:p w:rsidR="00E81118" w:rsidRDefault="00E81118" w:rsidP="00AC4F52">
      <w:pPr>
        <w:tabs>
          <w:tab w:val="left" w:pos="900"/>
          <w:tab w:val="left" w:pos="1080"/>
        </w:tabs>
        <w:spacing w:after="0" w:line="240" w:lineRule="auto"/>
        <w:jc w:val="both"/>
        <w:rPr>
          <w:rFonts w:ascii="Calibri" w:eastAsia="Calibri" w:hAnsi="Calibri" w:cs="Calibri"/>
        </w:rPr>
      </w:pPr>
      <w:r w:rsidRPr="00E81118">
        <w:rPr>
          <w:rFonts w:ascii="Calibri" w:eastAsia="Calibri" w:hAnsi="Calibri" w:cs="Calibri"/>
        </w:rPr>
        <w:t xml:space="preserve">The City has three major sources of revenues, namely, internally generated funds, internal revenue allotment and other subsidies.  </w:t>
      </w:r>
      <w:r w:rsidRPr="00AC4F52">
        <w:rPr>
          <w:rFonts w:ascii="Calibri" w:eastAsia="Calibri" w:hAnsi="Calibri" w:cs="Calibri"/>
          <w:b/>
        </w:rPr>
        <w:t xml:space="preserve">Figure </w:t>
      </w:r>
      <w:r w:rsidR="00AC4F52" w:rsidRPr="00AC4F52">
        <w:rPr>
          <w:rFonts w:ascii="Calibri" w:eastAsia="Calibri" w:hAnsi="Calibri" w:cs="Calibri"/>
          <w:b/>
        </w:rPr>
        <w:t>7.2</w:t>
      </w:r>
      <w:r w:rsidRPr="00E81118">
        <w:rPr>
          <w:rFonts w:ascii="Calibri" w:eastAsia="Calibri" w:hAnsi="Calibri" w:cs="Calibri"/>
        </w:rPr>
        <w:t xml:space="preserve"> shows the breakdown of revenues by major sources.  </w:t>
      </w:r>
    </w:p>
    <w:p w:rsidR="00AC4F52" w:rsidRPr="00E81118" w:rsidRDefault="00AC4F52" w:rsidP="00AC4F52">
      <w:pPr>
        <w:tabs>
          <w:tab w:val="left" w:pos="900"/>
          <w:tab w:val="left" w:pos="1080"/>
        </w:tabs>
        <w:spacing w:after="0" w:line="240" w:lineRule="auto"/>
        <w:jc w:val="both"/>
        <w:rPr>
          <w:rFonts w:ascii="Calibri" w:eastAsia="Calibri" w:hAnsi="Calibri" w:cs="Calibri"/>
        </w:rPr>
      </w:pPr>
    </w:p>
    <w:p w:rsidR="00AC4F52" w:rsidRDefault="00E81118" w:rsidP="00AC4F52">
      <w:pPr>
        <w:tabs>
          <w:tab w:val="left" w:pos="900"/>
          <w:tab w:val="left" w:pos="1080"/>
        </w:tabs>
        <w:spacing w:after="0" w:line="240" w:lineRule="auto"/>
        <w:jc w:val="both"/>
        <w:rPr>
          <w:rFonts w:ascii="Calibri" w:eastAsia="Calibri" w:hAnsi="Calibri" w:cs="Calibri"/>
        </w:rPr>
      </w:pPr>
      <w:r w:rsidRPr="00E81118">
        <w:rPr>
          <w:rFonts w:ascii="Calibri" w:eastAsia="Calibri" w:hAnsi="Calibri" w:cs="Calibri"/>
        </w:rPr>
        <w:t xml:space="preserve">The internally generated funds of the </w:t>
      </w:r>
      <w:r w:rsidR="00AC4F52">
        <w:rPr>
          <w:rFonts w:ascii="Calibri" w:eastAsia="Calibri" w:hAnsi="Calibri" w:cs="Calibri"/>
        </w:rPr>
        <w:t>C</w:t>
      </w:r>
      <w:r w:rsidRPr="00E81118">
        <w:rPr>
          <w:rFonts w:ascii="Calibri" w:eastAsia="Calibri" w:hAnsi="Calibri" w:cs="Calibri"/>
        </w:rPr>
        <w:t xml:space="preserve">ity consist of income from local taxes, permits and licenses, services, business arrangements and other incidental income such as interest income.  </w:t>
      </w:r>
      <w:r w:rsidR="00AC4F52">
        <w:rPr>
          <w:rFonts w:ascii="Calibri" w:eastAsia="Calibri" w:hAnsi="Calibri" w:cs="Calibri"/>
        </w:rPr>
        <w:t xml:space="preserve"> </w:t>
      </w:r>
      <w:r w:rsidRPr="00E81118">
        <w:rPr>
          <w:rFonts w:ascii="Calibri" w:eastAsia="Calibri" w:hAnsi="Calibri" w:cs="Calibri"/>
        </w:rPr>
        <w:t>The internal revenue allotment (IRA) refers to the revenue received from the national government.  Other subsidies include funds received from other local government units.</w:t>
      </w:r>
    </w:p>
    <w:p w:rsidR="00E81118" w:rsidRPr="00E81118" w:rsidRDefault="00E81118" w:rsidP="00AC4F52">
      <w:pPr>
        <w:tabs>
          <w:tab w:val="left" w:pos="900"/>
          <w:tab w:val="left" w:pos="1080"/>
        </w:tabs>
        <w:spacing w:after="0" w:line="240" w:lineRule="auto"/>
        <w:jc w:val="both"/>
        <w:rPr>
          <w:rFonts w:ascii="Calibri" w:eastAsia="Calibri" w:hAnsi="Calibri" w:cs="Calibri"/>
        </w:rPr>
      </w:pPr>
      <w:r w:rsidRPr="00E81118">
        <w:rPr>
          <w:rFonts w:ascii="Calibri" w:eastAsia="Calibri" w:hAnsi="Calibri" w:cs="Calibri"/>
        </w:rPr>
        <w:t xml:space="preserve"> </w:t>
      </w:r>
    </w:p>
    <w:p w:rsidR="00427663" w:rsidRDefault="00E81118" w:rsidP="00333A2E">
      <w:pPr>
        <w:spacing w:after="0" w:line="240" w:lineRule="auto"/>
        <w:rPr>
          <w:rFonts w:ascii="Calibri" w:eastAsia="Calibri" w:hAnsi="Calibri" w:cs="Calibri"/>
        </w:rPr>
      </w:pPr>
      <w:r w:rsidRPr="00E81118">
        <w:rPr>
          <w:rFonts w:ascii="Calibri" w:eastAsia="Calibri" w:hAnsi="Calibri" w:cs="Calibri"/>
        </w:rPr>
        <w:t>These revenue sources are being utilized optimally and within the limits prescribed by law.</w:t>
      </w:r>
    </w:p>
    <w:p w:rsidR="00333A2E" w:rsidRPr="00333A2E" w:rsidRDefault="00333A2E" w:rsidP="00333A2E">
      <w:pPr>
        <w:spacing w:after="0" w:line="240" w:lineRule="auto"/>
        <w:rPr>
          <w:rFonts w:ascii="Calibri" w:eastAsia="Calibri" w:hAnsi="Calibri" w:cs="Calibri"/>
        </w:rPr>
      </w:pPr>
    </w:p>
    <w:p w:rsidR="00E81118" w:rsidRDefault="00427663" w:rsidP="00AC4F52">
      <w:pPr>
        <w:tabs>
          <w:tab w:val="left" w:pos="900"/>
          <w:tab w:val="left" w:pos="1080"/>
        </w:tabs>
        <w:spacing w:after="120" w:line="276" w:lineRule="auto"/>
        <w:jc w:val="center"/>
        <w:rPr>
          <w:rFonts w:eastAsia="Calibri" w:cs="Calibri"/>
          <w:b/>
          <w:sz w:val="18"/>
          <w:szCs w:val="18"/>
        </w:rPr>
      </w:pPr>
      <w:r>
        <w:rPr>
          <w:rFonts w:ascii="Calibri" w:eastAsia="Calibri" w:hAnsi="Calibri" w:cs="Calibri"/>
          <w:noProof/>
        </w:rPr>
        <w:drawing>
          <wp:anchor distT="0" distB="0" distL="114300" distR="114300" simplePos="0" relativeHeight="251674624" behindDoc="1" locked="0" layoutInCell="1" allowOverlap="1" wp14:anchorId="5F843FA6" wp14:editId="6F8AB724">
            <wp:simplePos x="0" y="0"/>
            <wp:positionH relativeFrom="column">
              <wp:posOffset>412543</wp:posOffset>
            </wp:positionH>
            <wp:positionV relativeFrom="paragraph">
              <wp:posOffset>151617</wp:posOffset>
            </wp:positionV>
            <wp:extent cx="4688958" cy="2998382"/>
            <wp:effectExtent l="0" t="0" r="16510" b="12065"/>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AC4F52" w:rsidRPr="00AC4F52">
        <w:rPr>
          <w:rFonts w:eastAsia="Calibri" w:cs="Calibri"/>
          <w:b/>
          <w:sz w:val="18"/>
          <w:szCs w:val="18"/>
        </w:rPr>
        <w:t>FIGURE 7.2 REVENUE BY SOURCE</w:t>
      </w: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Default="00427663" w:rsidP="00AC4F52">
      <w:pPr>
        <w:tabs>
          <w:tab w:val="left" w:pos="900"/>
          <w:tab w:val="left" w:pos="1080"/>
        </w:tabs>
        <w:spacing w:after="120" w:line="276" w:lineRule="auto"/>
        <w:jc w:val="center"/>
        <w:rPr>
          <w:rFonts w:eastAsia="Calibri" w:cs="Calibri"/>
          <w:b/>
          <w:sz w:val="18"/>
          <w:szCs w:val="18"/>
        </w:rPr>
      </w:pPr>
    </w:p>
    <w:p w:rsidR="00427663" w:rsidRPr="00AC4F52" w:rsidRDefault="00427663" w:rsidP="00AC4F52">
      <w:pPr>
        <w:tabs>
          <w:tab w:val="left" w:pos="900"/>
          <w:tab w:val="left" w:pos="1080"/>
        </w:tabs>
        <w:spacing w:after="120" w:line="276" w:lineRule="auto"/>
        <w:jc w:val="center"/>
        <w:rPr>
          <w:rFonts w:eastAsia="Calibri" w:cs="Calibri"/>
          <w:b/>
          <w:sz w:val="18"/>
          <w:szCs w:val="18"/>
        </w:rPr>
      </w:pPr>
    </w:p>
    <w:p w:rsidR="00E81118" w:rsidRPr="00E81118" w:rsidRDefault="00E81118" w:rsidP="00E81118">
      <w:pPr>
        <w:tabs>
          <w:tab w:val="left" w:pos="900"/>
          <w:tab w:val="left" w:pos="1080"/>
        </w:tabs>
        <w:spacing w:line="276" w:lineRule="auto"/>
        <w:jc w:val="center"/>
        <w:rPr>
          <w:rFonts w:ascii="Calibri" w:eastAsia="Calibri" w:hAnsi="Calibri" w:cs="Calibri"/>
        </w:rPr>
      </w:pPr>
    </w:p>
    <w:p w:rsidR="00427663" w:rsidRDefault="00427663" w:rsidP="00DF29CE">
      <w:pPr>
        <w:tabs>
          <w:tab w:val="left" w:pos="900"/>
          <w:tab w:val="left" w:pos="1080"/>
        </w:tabs>
        <w:spacing w:line="240" w:lineRule="auto"/>
        <w:jc w:val="both"/>
        <w:rPr>
          <w:rFonts w:ascii="Calibri" w:eastAsia="Calibri" w:hAnsi="Calibri" w:cs="Calibri"/>
        </w:rPr>
      </w:pPr>
    </w:p>
    <w:p w:rsidR="00E81118" w:rsidRDefault="00E81118" w:rsidP="00DF29CE">
      <w:pPr>
        <w:tabs>
          <w:tab w:val="left" w:pos="900"/>
          <w:tab w:val="left" w:pos="1080"/>
        </w:tabs>
        <w:spacing w:line="240" w:lineRule="auto"/>
        <w:jc w:val="both"/>
        <w:rPr>
          <w:rFonts w:ascii="Calibri" w:eastAsia="Calibri" w:hAnsi="Calibri" w:cs="Calibri"/>
        </w:rPr>
      </w:pPr>
      <w:r w:rsidRPr="00E81118">
        <w:rPr>
          <w:rFonts w:ascii="Calibri" w:eastAsia="Calibri" w:hAnsi="Calibri" w:cs="Calibri"/>
        </w:rPr>
        <w:lastRenderedPageBreak/>
        <w:t xml:space="preserve">Over the past three years, there has been a consistent upward trend of internally generated funds of 40% in 2009, 5% in 2010 and 14% from 2011.  </w:t>
      </w:r>
      <w:r w:rsidRPr="00DF29CE">
        <w:rPr>
          <w:rFonts w:ascii="Calibri" w:eastAsia="Calibri" w:hAnsi="Calibri" w:cs="Calibri"/>
          <w:b/>
        </w:rPr>
        <w:t xml:space="preserve">Figure </w:t>
      </w:r>
      <w:r w:rsidR="00DF29CE" w:rsidRPr="00DF29CE">
        <w:rPr>
          <w:rFonts w:ascii="Calibri" w:eastAsia="Calibri" w:hAnsi="Calibri" w:cs="Calibri"/>
          <w:b/>
        </w:rPr>
        <w:t>7.</w:t>
      </w:r>
      <w:r w:rsidR="00DF29CE">
        <w:rPr>
          <w:rFonts w:ascii="Calibri" w:eastAsia="Calibri" w:hAnsi="Calibri" w:cs="Calibri"/>
          <w:b/>
        </w:rPr>
        <w:t>3</w:t>
      </w:r>
      <w:r w:rsidRPr="00E81118">
        <w:rPr>
          <w:rFonts w:ascii="Calibri" w:eastAsia="Calibri" w:hAnsi="Calibri" w:cs="Calibri"/>
        </w:rPr>
        <w:t xml:space="preserve"> shows the graphical representation of the upward trend pattern of the City’s internally </w:t>
      </w:r>
      <w:r w:rsidR="003A30D1">
        <w:rPr>
          <w:rFonts w:ascii="Calibri" w:eastAsia="Calibri" w:hAnsi="Calibri" w:cs="Calibri"/>
        </w:rPr>
        <w:t>generated funds over the period of 2</w:t>
      </w:r>
      <w:r w:rsidRPr="00E81118">
        <w:rPr>
          <w:rFonts w:ascii="Calibri" w:eastAsia="Calibri" w:hAnsi="Calibri" w:cs="Calibri"/>
        </w:rPr>
        <w:t>008 – 2011.</w:t>
      </w:r>
    </w:p>
    <w:p w:rsidR="00E81118" w:rsidRPr="00E81118" w:rsidRDefault="00DF29CE" w:rsidP="00DF29CE">
      <w:pPr>
        <w:tabs>
          <w:tab w:val="left" w:pos="900"/>
          <w:tab w:val="left" w:pos="1080"/>
        </w:tabs>
        <w:spacing w:line="276" w:lineRule="auto"/>
        <w:ind w:left="1440"/>
        <w:jc w:val="center"/>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46773F5E" wp14:editId="67C6C340">
                <wp:simplePos x="0" y="0"/>
                <wp:positionH relativeFrom="column">
                  <wp:posOffset>455295</wp:posOffset>
                </wp:positionH>
                <wp:positionV relativeFrom="paragraph">
                  <wp:posOffset>35560</wp:posOffset>
                </wp:positionV>
                <wp:extent cx="4667884" cy="2546984"/>
                <wp:effectExtent l="0" t="0" r="0" b="6350"/>
                <wp:wrapNone/>
                <wp:docPr id="14" name="Group 14"/>
                <wp:cNvGraphicFramePr/>
                <a:graphic xmlns:a="http://schemas.openxmlformats.org/drawingml/2006/main">
                  <a:graphicData uri="http://schemas.microsoft.com/office/word/2010/wordprocessingGroup">
                    <wpg:wgp>
                      <wpg:cNvGrpSpPr/>
                      <wpg:grpSpPr>
                        <a:xfrm>
                          <a:off x="0" y="0"/>
                          <a:ext cx="4667884" cy="2546984"/>
                          <a:chOff x="0" y="0"/>
                          <a:chExt cx="4667884" cy="2546984"/>
                        </a:xfrm>
                      </wpg:grpSpPr>
                      <wps:wsp>
                        <wps:cNvPr id="11" name="Text Box 2"/>
                        <wps:cNvSpPr txBox="1">
                          <a:spLocks noChangeArrowheads="1"/>
                        </wps:cNvSpPr>
                        <wps:spPr bwMode="auto">
                          <a:xfrm>
                            <a:off x="0" y="0"/>
                            <a:ext cx="4667250" cy="2305050"/>
                          </a:xfrm>
                          <a:prstGeom prst="rect">
                            <a:avLst/>
                          </a:prstGeom>
                          <a:solidFill>
                            <a:srgbClr val="FFFFFF"/>
                          </a:solidFill>
                          <a:ln w="9525">
                            <a:noFill/>
                            <a:miter lim="800000"/>
                            <a:headEnd/>
                            <a:tailEnd/>
                          </a:ln>
                        </wps:spPr>
                        <wps:txbx>
                          <w:txbxContent>
                            <w:p w:rsidR="00DF29CE" w:rsidRDefault="00DF29CE">
                              <w:r>
                                <w:rPr>
                                  <w:rFonts w:ascii="Calibri" w:eastAsia="Calibri" w:hAnsi="Calibri" w:cs="Calibri"/>
                                  <w:noProof/>
                                </w:rPr>
                                <w:drawing>
                                  <wp:inline distT="0" distB="0" distL="0" distR="0" wp14:anchorId="25BEC923" wp14:editId="2336FF49">
                                    <wp:extent cx="4400550" cy="2105025"/>
                                    <wp:effectExtent l="57150" t="38100" r="57150" b="6667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wps:wsp>
                        <wps:cNvPr id="13" name="Text Box 2"/>
                        <wps:cNvSpPr txBox="1">
                          <a:spLocks noChangeArrowheads="1"/>
                        </wps:cNvSpPr>
                        <wps:spPr bwMode="auto">
                          <a:xfrm>
                            <a:off x="0" y="2305050"/>
                            <a:ext cx="4667884" cy="241934"/>
                          </a:xfrm>
                          <a:prstGeom prst="rect">
                            <a:avLst/>
                          </a:prstGeom>
                          <a:solidFill>
                            <a:srgbClr val="FFFFFF"/>
                          </a:solidFill>
                          <a:ln w="9525">
                            <a:noFill/>
                            <a:miter lim="800000"/>
                            <a:headEnd/>
                            <a:tailEnd/>
                          </a:ln>
                        </wps:spPr>
                        <wps:txbx>
                          <w:txbxContent>
                            <w:p w:rsidR="00DF29CE" w:rsidRPr="00DF29CE" w:rsidRDefault="00DF29CE" w:rsidP="00DF29CE">
                              <w:pPr>
                                <w:spacing w:after="0"/>
                                <w:rPr>
                                  <w:sz w:val="18"/>
                                  <w:szCs w:val="18"/>
                                </w:rPr>
                              </w:pPr>
                              <w:r w:rsidRPr="00DF29CE">
                                <w:rPr>
                                  <w:rFonts w:eastAsia="Calibri" w:cs="Calibri"/>
                                  <w:b/>
                                  <w:sz w:val="18"/>
                                  <w:szCs w:val="18"/>
                                </w:rPr>
                                <w:t>FIGURE 7.3  TRENDING PATTERN OF THE CITY’S INTERNALLY GENERATED FUNDS</w:t>
                              </w:r>
                            </w:p>
                          </w:txbxContent>
                        </wps:txbx>
                        <wps:bodyPr rot="0" vert="horz" wrap="square" lIns="91440" tIns="45720" rIns="91440" bIns="45720" anchor="t" anchorCtr="0">
                          <a:spAutoFit/>
                        </wps:bodyPr>
                      </wps:wsp>
                    </wpg:wgp>
                  </a:graphicData>
                </a:graphic>
              </wp:anchor>
            </w:drawing>
          </mc:Choice>
          <mc:Fallback>
            <w:pict>
              <v:group id="Group 14" o:spid="_x0000_s1027" style="position:absolute;left:0;text-align:left;margin-left:35.85pt;margin-top:2.8pt;width:367.55pt;height:200.55pt;z-index:251671552" coordsize="46678,2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">
                <v:shape id="_x0000_s1028" type="#_x0000_t202" style="position:absolute;width:46672;height:2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F29CE" w:rsidRDefault="00DF29CE">
                        <w:r>
                          <w:rPr>
                            <w:rFonts w:ascii="Calibri" w:eastAsia="Calibri" w:hAnsi="Calibri" w:cs="Calibri"/>
                            <w:noProof/>
                          </w:rPr>
                          <w:drawing>
                            <wp:inline distT="0" distB="0" distL="0" distR="0" wp14:anchorId="25BEC923" wp14:editId="2336FF49">
                              <wp:extent cx="4400550" cy="2105025"/>
                              <wp:effectExtent l="57150" t="38100" r="57150" b="6667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v:shape id="_x0000_s1029" type="#_x0000_t202" style="position:absolute;top:23050;width:46678;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DF29CE" w:rsidRPr="00DF29CE" w:rsidRDefault="00DF29CE" w:rsidP="00DF29CE">
                        <w:pPr>
                          <w:spacing w:after="0"/>
                          <w:rPr>
                            <w:sz w:val="18"/>
                            <w:szCs w:val="18"/>
                          </w:rPr>
                        </w:pPr>
                        <w:r w:rsidRPr="00DF29CE">
                          <w:rPr>
                            <w:rFonts w:eastAsia="Calibri" w:cs="Calibri"/>
                            <w:b/>
                            <w:sz w:val="18"/>
                            <w:szCs w:val="18"/>
                          </w:rPr>
                          <w:t xml:space="preserve">FIGURE </w:t>
                        </w:r>
                        <w:proofErr w:type="gramStart"/>
                        <w:r w:rsidRPr="00DF29CE">
                          <w:rPr>
                            <w:rFonts w:eastAsia="Calibri" w:cs="Calibri"/>
                            <w:b/>
                            <w:sz w:val="18"/>
                            <w:szCs w:val="18"/>
                          </w:rPr>
                          <w:t>7.3  TRENDING</w:t>
                        </w:r>
                        <w:proofErr w:type="gramEnd"/>
                        <w:r w:rsidRPr="00DF29CE">
                          <w:rPr>
                            <w:rFonts w:eastAsia="Calibri" w:cs="Calibri"/>
                            <w:b/>
                            <w:sz w:val="18"/>
                            <w:szCs w:val="18"/>
                          </w:rPr>
                          <w:t xml:space="preserve"> PATTERN OF THE CITY’S INTERNALLY GENERATED FUNDS</w:t>
                        </w:r>
                      </w:p>
                    </w:txbxContent>
                  </v:textbox>
                </v:shape>
              </v:group>
            </w:pict>
          </mc:Fallback>
        </mc:AlternateContent>
      </w: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DF29CE" w:rsidRDefault="00DF29CE" w:rsidP="00E81118">
      <w:pPr>
        <w:spacing w:line="276" w:lineRule="auto"/>
        <w:ind w:left="1260"/>
        <w:rPr>
          <w:rFonts w:ascii="Calibri" w:eastAsia="Calibri" w:hAnsi="Calibri" w:cs="Calibri"/>
        </w:rPr>
      </w:pPr>
    </w:p>
    <w:p w:rsidR="00E81118" w:rsidRPr="00E81118" w:rsidRDefault="00E81118" w:rsidP="00DF29CE">
      <w:pPr>
        <w:spacing w:after="0" w:line="240" w:lineRule="auto"/>
        <w:jc w:val="both"/>
        <w:rPr>
          <w:rFonts w:ascii="Calibri" w:eastAsia="Calibri" w:hAnsi="Calibri" w:cs="Times New Roman"/>
        </w:rPr>
      </w:pPr>
      <w:r w:rsidRPr="00E81118">
        <w:rPr>
          <w:rFonts w:ascii="Calibri" w:eastAsia="Calibri" w:hAnsi="Calibri" w:cs="Calibri"/>
        </w:rPr>
        <w:t>Of the three major sources of revenues, internally generated funds provides between 18-22%.  The internal revenue allotment, which comprises the biggest revenue stream of the City, contributes between 65%-77%.  Other subsidies give below 1% of the City’s inflow.</w:t>
      </w:r>
    </w:p>
    <w:p w:rsidR="00DF29CE" w:rsidRDefault="00DF29CE" w:rsidP="00DF29CE">
      <w:pPr>
        <w:tabs>
          <w:tab w:val="left" w:pos="900"/>
          <w:tab w:val="left" w:pos="1080"/>
        </w:tabs>
        <w:spacing w:after="0" w:line="240" w:lineRule="auto"/>
        <w:jc w:val="both"/>
        <w:rPr>
          <w:rFonts w:ascii="Calibri" w:eastAsia="Calibri" w:hAnsi="Calibri" w:cs="Calibri"/>
        </w:rPr>
      </w:pPr>
    </w:p>
    <w:p w:rsidR="00E81118" w:rsidRPr="00E81118" w:rsidRDefault="00E81118" w:rsidP="00A53C1D">
      <w:pPr>
        <w:tabs>
          <w:tab w:val="left" w:pos="900"/>
          <w:tab w:val="left" w:pos="1080"/>
        </w:tabs>
        <w:spacing w:after="0" w:line="240" w:lineRule="auto"/>
        <w:jc w:val="both"/>
        <w:rPr>
          <w:rFonts w:ascii="Calibri" w:eastAsia="Calibri" w:hAnsi="Calibri" w:cs="Times New Roman"/>
          <w:b/>
          <w:sz w:val="24"/>
          <w:szCs w:val="24"/>
        </w:rPr>
      </w:pPr>
      <w:r w:rsidRPr="00E81118">
        <w:rPr>
          <w:rFonts w:ascii="Calibri" w:eastAsia="Calibri" w:hAnsi="Calibri" w:cs="Calibri"/>
        </w:rPr>
        <w:t xml:space="preserve">Based on the revenue source mix by the City, as can be gleaned from </w:t>
      </w:r>
      <w:r w:rsidR="00A53C1D">
        <w:rPr>
          <w:rFonts w:ascii="Calibri" w:eastAsia="Calibri" w:hAnsi="Calibri" w:cs="Calibri"/>
        </w:rPr>
        <w:t>the table below</w:t>
      </w:r>
      <w:r w:rsidRPr="00E81118">
        <w:rPr>
          <w:rFonts w:ascii="Calibri" w:eastAsia="Calibri" w:hAnsi="Calibri" w:cs="Calibri"/>
        </w:rPr>
        <w:t xml:space="preserve">,  it can be observed that the City’s self-reliance on its own internally generated funds is not very high considering that it can support up to the extent of one-fourth of the total annual expenditures. </w:t>
      </w:r>
    </w:p>
    <w:tbl>
      <w:tblPr>
        <w:tblpPr w:leftFromText="180" w:rightFromText="180" w:vertAnchor="text" w:horzAnchor="margin" w:tblpX="126" w:tblpY="201"/>
        <w:tblW w:w="8748" w:type="dxa"/>
        <w:tblBorders>
          <w:bottom w:val="single" w:sz="4" w:space="0" w:color="auto"/>
        </w:tblBorders>
        <w:tblLayout w:type="fixed"/>
        <w:tblLook w:val="04A0" w:firstRow="1" w:lastRow="0" w:firstColumn="1" w:lastColumn="0" w:noHBand="0" w:noVBand="1"/>
      </w:tblPr>
      <w:tblGrid>
        <w:gridCol w:w="3348"/>
        <w:gridCol w:w="1350"/>
        <w:gridCol w:w="1350"/>
        <w:gridCol w:w="1350"/>
        <w:gridCol w:w="1350"/>
      </w:tblGrid>
      <w:tr w:rsidR="00A53C1D" w:rsidRPr="00E81118" w:rsidTr="00A53C1D">
        <w:trPr>
          <w:trHeight w:val="360"/>
        </w:trPr>
        <w:tc>
          <w:tcPr>
            <w:tcW w:w="8748" w:type="dxa"/>
            <w:gridSpan w:val="5"/>
            <w:tcBorders>
              <w:bottom w:val="single" w:sz="4" w:space="0" w:color="auto"/>
            </w:tcBorders>
            <w:shd w:val="clear" w:color="auto" w:fill="auto"/>
            <w:noWrap/>
            <w:vAlign w:val="bottom"/>
          </w:tcPr>
          <w:p w:rsidR="00A53C1D" w:rsidRPr="00A53C1D" w:rsidRDefault="00A53C1D" w:rsidP="00A53C1D">
            <w:pPr>
              <w:spacing w:after="120" w:line="240" w:lineRule="auto"/>
              <w:jc w:val="center"/>
              <w:rPr>
                <w:rFonts w:eastAsia="Calibri" w:cs="Calibri"/>
                <w:b/>
                <w:bCs/>
                <w:sz w:val="18"/>
                <w:szCs w:val="18"/>
                <w:u w:val="single"/>
                <w:lang w:val="en-PH" w:eastAsia="en-PH"/>
              </w:rPr>
            </w:pPr>
            <w:r w:rsidRPr="00A53C1D">
              <w:rPr>
                <w:rFonts w:eastAsia="Calibri" w:cs="Times New Roman"/>
                <w:b/>
                <w:sz w:val="18"/>
                <w:szCs w:val="18"/>
              </w:rPr>
              <w:t>TABLE 7.2  SAN CARLOS CITY REVENUE SOURCE-MIX</w:t>
            </w:r>
          </w:p>
        </w:tc>
      </w:tr>
      <w:tr w:rsidR="00E81118" w:rsidRPr="00E81118" w:rsidTr="00A53C1D">
        <w:trPr>
          <w:trHeight w:val="360"/>
        </w:trPr>
        <w:tc>
          <w:tcPr>
            <w:tcW w:w="334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81118" w:rsidRPr="00A53C1D" w:rsidRDefault="00E81118" w:rsidP="00A53C1D">
            <w:pPr>
              <w:spacing w:after="0" w:line="276" w:lineRule="auto"/>
              <w:jc w:val="center"/>
              <w:rPr>
                <w:rFonts w:ascii="Calibri" w:eastAsia="Calibri" w:hAnsi="Calibri" w:cs="Calibri"/>
                <w:b/>
                <w:bCs/>
                <w:sz w:val="20"/>
                <w:szCs w:val="20"/>
                <w:lang w:val="en-PH" w:eastAsia="en-PH"/>
              </w:rPr>
            </w:pPr>
            <w:r w:rsidRPr="00A53C1D">
              <w:rPr>
                <w:rFonts w:ascii="Calibri" w:eastAsia="Calibri" w:hAnsi="Calibri" w:cs="Calibri"/>
                <w:b/>
                <w:bCs/>
                <w:sz w:val="20"/>
                <w:szCs w:val="20"/>
                <w:lang w:val="en-PH" w:eastAsia="en-PH"/>
              </w:rPr>
              <w:t>Revenues by Source</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81118" w:rsidRPr="00A53C1D" w:rsidRDefault="00E81118" w:rsidP="00A53C1D">
            <w:pPr>
              <w:spacing w:after="0" w:line="276" w:lineRule="auto"/>
              <w:jc w:val="center"/>
              <w:rPr>
                <w:rFonts w:ascii="Calibri" w:eastAsia="Calibri" w:hAnsi="Calibri" w:cs="Calibri"/>
                <w:b/>
                <w:bCs/>
                <w:sz w:val="20"/>
                <w:szCs w:val="20"/>
                <w:lang w:val="en-PH" w:eastAsia="en-PH"/>
              </w:rPr>
            </w:pPr>
            <w:r w:rsidRPr="00A53C1D">
              <w:rPr>
                <w:rFonts w:ascii="Calibri" w:eastAsia="Calibri" w:hAnsi="Calibri" w:cs="Calibri"/>
                <w:b/>
                <w:bCs/>
                <w:sz w:val="20"/>
                <w:szCs w:val="20"/>
                <w:lang w:val="en-PH" w:eastAsia="en-PH"/>
              </w:rPr>
              <w:t xml:space="preserve"> 2011 </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81118" w:rsidRPr="00A53C1D" w:rsidRDefault="00E81118" w:rsidP="00A53C1D">
            <w:pPr>
              <w:spacing w:after="0" w:line="276" w:lineRule="auto"/>
              <w:jc w:val="center"/>
              <w:rPr>
                <w:rFonts w:ascii="Calibri" w:eastAsia="Calibri" w:hAnsi="Calibri" w:cs="Calibri"/>
                <w:b/>
                <w:bCs/>
                <w:sz w:val="20"/>
                <w:szCs w:val="20"/>
                <w:lang w:val="en-PH" w:eastAsia="en-PH"/>
              </w:rPr>
            </w:pPr>
            <w:r w:rsidRPr="00A53C1D">
              <w:rPr>
                <w:rFonts w:ascii="Calibri" w:eastAsia="Calibri" w:hAnsi="Calibri" w:cs="Calibri"/>
                <w:b/>
                <w:bCs/>
                <w:sz w:val="20"/>
                <w:szCs w:val="20"/>
                <w:lang w:val="en-PH" w:eastAsia="en-PH"/>
              </w:rPr>
              <w:t xml:space="preserve"> 2010 </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81118" w:rsidRPr="00A53C1D" w:rsidRDefault="00E81118" w:rsidP="00A53C1D">
            <w:pPr>
              <w:spacing w:after="0" w:line="276" w:lineRule="auto"/>
              <w:jc w:val="center"/>
              <w:rPr>
                <w:rFonts w:ascii="Calibri" w:eastAsia="Calibri" w:hAnsi="Calibri" w:cs="Calibri"/>
                <w:b/>
                <w:bCs/>
                <w:sz w:val="20"/>
                <w:szCs w:val="20"/>
                <w:lang w:val="en-PH" w:eastAsia="en-PH"/>
              </w:rPr>
            </w:pPr>
            <w:r w:rsidRPr="00A53C1D">
              <w:rPr>
                <w:rFonts w:ascii="Calibri" w:eastAsia="Calibri" w:hAnsi="Calibri" w:cs="Calibri"/>
                <w:b/>
                <w:bCs/>
                <w:sz w:val="20"/>
                <w:szCs w:val="20"/>
                <w:lang w:val="en-PH" w:eastAsia="en-PH"/>
              </w:rPr>
              <w:t xml:space="preserve"> 2009 </w:t>
            </w:r>
          </w:p>
        </w:tc>
        <w:tc>
          <w:tcPr>
            <w:tcW w:w="135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81118" w:rsidRPr="00A53C1D" w:rsidRDefault="00E81118" w:rsidP="00A53C1D">
            <w:pPr>
              <w:spacing w:after="0" w:line="276" w:lineRule="auto"/>
              <w:jc w:val="center"/>
              <w:rPr>
                <w:rFonts w:ascii="Calibri" w:eastAsia="Calibri" w:hAnsi="Calibri" w:cs="Calibri"/>
                <w:b/>
                <w:bCs/>
                <w:sz w:val="20"/>
                <w:szCs w:val="20"/>
                <w:lang w:val="en-PH" w:eastAsia="en-PH"/>
              </w:rPr>
            </w:pPr>
            <w:r w:rsidRPr="00A53C1D">
              <w:rPr>
                <w:rFonts w:ascii="Calibri" w:eastAsia="Calibri" w:hAnsi="Calibri" w:cs="Calibri"/>
                <w:b/>
                <w:bCs/>
                <w:sz w:val="20"/>
                <w:szCs w:val="20"/>
                <w:lang w:val="en-PH" w:eastAsia="en-PH"/>
              </w:rPr>
              <w:t xml:space="preserve"> 2008 </w:t>
            </w:r>
          </w:p>
        </w:tc>
      </w:tr>
      <w:tr w:rsidR="00E81118" w:rsidRPr="00E81118" w:rsidTr="00A53C1D">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118" w:rsidRPr="00A53C1D" w:rsidRDefault="00E81118" w:rsidP="00A53C1D">
            <w:pPr>
              <w:spacing w:after="0" w:line="276" w:lineRule="auto"/>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 xml:space="preserve">Internally Generated Funds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22.59%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19.87%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18.88%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13.46%</w:t>
            </w:r>
          </w:p>
        </w:tc>
      </w:tr>
      <w:tr w:rsidR="00E81118" w:rsidRPr="00E81118" w:rsidTr="00A53C1D">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118" w:rsidRPr="00A53C1D" w:rsidRDefault="00E81118" w:rsidP="00A53C1D">
            <w:pPr>
              <w:spacing w:after="0" w:line="276" w:lineRule="auto"/>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 xml:space="preserve">Internal Revenue Allotment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77.31%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71.88%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65.15%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54.13%</w:t>
            </w:r>
          </w:p>
        </w:tc>
      </w:tr>
      <w:tr w:rsidR="00E81118" w:rsidRPr="00E81118" w:rsidTr="00A53C1D">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1118" w:rsidRPr="00A53C1D" w:rsidRDefault="00E81118" w:rsidP="00A53C1D">
            <w:pPr>
              <w:spacing w:after="0" w:line="276" w:lineRule="auto"/>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 xml:space="preserve">Other Subsidies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0.10%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0.15%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1118" w:rsidRPr="00A53C1D" w:rsidRDefault="00E81118" w:rsidP="00A53C1D">
            <w:pPr>
              <w:spacing w:after="0" w:line="276" w:lineRule="auto"/>
              <w:jc w:val="center"/>
              <w:rPr>
                <w:rFonts w:ascii="Calibri" w:eastAsia="Calibri" w:hAnsi="Calibri" w:cs="Calibri"/>
                <w:sz w:val="20"/>
                <w:szCs w:val="20"/>
                <w:lang w:val="en-PH" w:eastAsia="en-PH"/>
              </w:rPr>
            </w:pPr>
            <w:r w:rsidRPr="00A53C1D">
              <w:rPr>
                <w:rFonts w:ascii="Calibri" w:eastAsia="Calibri" w:hAnsi="Calibri" w:cs="Calibri"/>
                <w:sz w:val="20"/>
                <w:szCs w:val="20"/>
                <w:lang w:val="en-PH" w:eastAsia="en-PH"/>
              </w:rPr>
              <w:t>0.01%</w:t>
            </w:r>
          </w:p>
        </w:tc>
      </w:tr>
    </w:tbl>
    <w:p w:rsidR="00E81118" w:rsidRPr="00E81118" w:rsidRDefault="00E81118" w:rsidP="00E81118">
      <w:pPr>
        <w:tabs>
          <w:tab w:val="left" w:pos="900"/>
          <w:tab w:val="left" w:pos="1080"/>
        </w:tabs>
        <w:spacing w:line="276" w:lineRule="auto"/>
        <w:ind w:left="1440"/>
        <w:jc w:val="both"/>
        <w:rPr>
          <w:rFonts w:ascii="Calibri" w:eastAsia="Calibri" w:hAnsi="Calibri" w:cs="Calibri"/>
        </w:rPr>
      </w:pPr>
    </w:p>
    <w:p w:rsidR="00E81118" w:rsidRPr="00A53C1D" w:rsidRDefault="00A53C1D" w:rsidP="00FC15F2">
      <w:pPr>
        <w:keepNext/>
        <w:keepLines/>
        <w:numPr>
          <w:ilvl w:val="2"/>
          <w:numId w:val="7"/>
        </w:numPr>
        <w:pBdr>
          <w:top w:val="dotted" w:sz="4" w:space="1" w:color="000000" w:themeColor="text1"/>
          <w:bottom w:val="dotted" w:sz="4" w:space="1" w:color="000000" w:themeColor="text1"/>
        </w:pBdr>
        <w:spacing w:before="200" w:after="0" w:line="276" w:lineRule="auto"/>
        <w:outlineLvl w:val="2"/>
        <w:rPr>
          <w:rFonts w:eastAsia="Times New Roman" w:cs="Times New Roman"/>
          <w:bCs/>
          <w:i/>
          <w:color w:val="808080" w:themeColor="background1" w:themeShade="80"/>
          <w:sz w:val="24"/>
          <w:szCs w:val="24"/>
        </w:rPr>
      </w:pPr>
      <w:bookmarkStart w:id="7" w:name="_Toc340139256"/>
      <w:r w:rsidRPr="00A53C1D">
        <w:rPr>
          <w:rFonts w:eastAsia="Times New Roman" w:cs="Times New Roman"/>
          <w:bCs/>
          <w:i/>
          <w:color w:val="808080" w:themeColor="background1" w:themeShade="80"/>
          <w:sz w:val="24"/>
          <w:szCs w:val="24"/>
        </w:rPr>
        <w:t>EXTENT OF FISCAL AUTONOMY</w:t>
      </w:r>
      <w:bookmarkEnd w:id="7"/>
    </w:p>
    <w:p w:rsidR="00A53C1D" w:rsidRDefault="00A53C1D" w:rsidP="00E81118">
      <w:pPr>
        <w:tabs>
          <w:tab w:val="left" w:pos="900"/>
          <w:tab w:val="left" w:pos="1080"/>
        </w:tabs>
        <w:spacing w:line="276" w:lineRule="auto"/>
        <w:ind w:left="1224"/>
        <w:rPr>
          <w:rFonts w:ascii="Calibri" w:eastAsia="Calibri" w:hAnsi="Calibri" w:cs="Calibri"/>
        </w:rPr>
      </w:pPr>
    </w:p>
    <w:p w:rsidR="00E81118" w:rsidRPr="00E81118" w:rsidRDefault="00E81118" w:rsidP="00A53C1D">
      <w:pPr>
        <w:tabs>
          <w:tab w:val="left" w:pos="900"/>
          <w:tab w:val="left" w:pos="1080"/>
        </w:tabs>
        <w:spacing w:line="240" w:lineRule="auto"/>
        <w:jc w:val="both"/>
        <w:rPr>
          <w:rFonts w:ascii="Calibri" w:eastAsia="Calibri" w:hAnsi="Calibri" w:cs="Calibri"/>
        </w:rPr>
      </w:pPr>
      <w:r w:rsidRPr="00E81118">
        <w:rPr>
          <w:rFonts w:ascii="Calibri" w:eastAsia="Calibri" w:hAnsi="Calibri" w:cs="Calibri"/>
        </w:rPr>
        <w:t>The City had obtained increasing Internal Revenue Allotment allocations from 2008-2011.  The IRA represents 65%-77% of the City’s revenues.  Table 3 shows the breakdown of the City’s IRA from 2008-2011</w:t>
      </w:r>
      <w:r w:rsidR="00A53C1D">
        <w:rPr>
          <w:rFonts w:ascii="Calibri" w:eastAsia="Calibri" w:hAnsi="Calibri" w:cs="Calibri"/>
        </w:rPr>
        <w:t>.</w:t>
      </w:r>
      <w:r w:rsidRPr="00E81118">
        <w:rPr>
          <w:rFonts w:ascii="Calibri" w:eastAsia="Calibri" w:hAnsi="Calibri" w:cs="Calibri"/>
        </w:rPr>
        <w:tab/>
      </w: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427663" w:rsidRDefault="00427663" w:rsidP="00841199">
      <w:pPr>
        <w:tabs>
          <w:tab w:val="left" w:pos="900"/>
          <w:tab w:val="left" w:pos="1080"/>
        </w:tabs>
        <w:spacing w:after="120" w:line="240" w:lineRule="auto"/>
        <w:ind w:left="360"/>
        <w:contextualSpacing/>
        <w:jc w:val="center"/>
        <w:rPr>
          <w:rFonts w:eastAsia="Calibri" w:cs="Calibri"/>
          <w:b/>
          <w:sz w:val="18"/>
          <w:szCs w:val="18"/>
        </w:rPr>
      </w:pPr>
    </w:p>
    <w:p w:rsidR="00E81118" w:rsidRPr="00841199" w:rsidRDefault="00E81118" w:rsidP="00841199">
      <w:pPr>
        <w:tabs>
          <w:tab w:val="left" w:pos="900"/>
          <w:tab w:val="left" w:pos="1080"/>
        </w:tabs>
        <w:spacing w:after="120" w:line="240" w:lineRule="auto"/>
        <w:ind w:left="360"/>
        <w:contextualSpacing/>
        <w:jc w:val="center"/>
        <w:rPr>
          <w:rFonts w:eastAsia="Calibri" w:cs="Calibri"/>
          <w:b/>
          <w:sz w:val="18"/>
          <w:szCs w:val="18"/>
        </w:rPr>
      </w:pPr>
      <w:r w:rsidRPr="00841199">
        <w:rPr>
          <w:rFonts w:eastAsia="Calibri" w:cs="Calibri"/>
          <w:b/>
          <w:sz w:val="18"/>
          <w:szCs w:val="18"/>
        </w:rPr>
        <w:lastRenderedPageBreak/>
        <w:t xml:space="preserve">Figure </w:t>
      </w:r>
      <w:r w:rsidR="00A53C1D" w:rsidRPr="00841199">
        <w:rPr>
          <w:rFonts w:eastAsia="Calibri" w:cs="Calibri"/>
          <w:b/>
          <w:sz w:val="18"/>
          <w:szCs w:val="18"/>
        </w:rPr>
        <w:t>7</w:t>
      </w:r>
      <w:r w:rsidRPr="00841199">
        <w:rPr>
          <w:rFonts w:eastAsia="Calibri" w:cs="Calibri"/>
          <w:b/>
          <w:sz w:val="18"/>
          <w:szCs w:val="18"/>
        </w:rPr>
        <w:t>.</w:t>
      </w:r>
      <w:r w:rsidR="00A53C1D" w:rsidRPr="00841199">
        <w:rPr>
          <w:rFonts w:eastAsia="Calibri" w:cs="Calibri"/>
          <w:b/>
          <w:sz w:val="18"/>
          <w:szCs w:val="18"/>
        </w:rPr>
        <w:t>4</w:t>
      </w:r>
    </w:p>
    <w:p w:rsidR="00E81118" w:rsidRPr="00841199" w:rsidRDefault="00E81118" w:rsidP="00841199">
      <w:pPr>
        <w:tabs>
          <w:tab w:val="left" w:pos="900"/>
          <w:tab w:val="left" w:pos="1080"/>
        </w:tabs>
        <w:spacing w:after="120" w:line="276" w:lineRule="auto"/>
        <w:jc w:val="center"/>
        <w:rPr>
          <w:rFonts w:eastAsia="Calibri" w:cs="Calibri"/>
          <w:b/>
          <w:sz w:val="18"/>
          <w:szCs w:val="18"/>
        </w:rPr>
      </w:pPr>
      <w:r w:rsidRPr="00841199">
        <w:rPr>
          <w:rFonts w:eastAsia="Calibri" w:cs="Calibri"/>
          <w:b/>
          <w:sz w:val="18"/>
          <w:szCs w:val="18"/>
        </w:rPr>
        <w:t>San Carlos City’s Internal Revenue Allotment, 2008-2011</w:t>
      </w:r>
    </w:p>
    <w:p w:rsidR="000A5F98" w:rsidRPr="002668B5" w:rsidRDefault="00E81118" w:rsidP="002668B5">
      <w:pPr>
        <w:tabs>
          <w:tab w:val="left" w:pos="900"/>
          <w:tab w:val="left" w:pos="1080"/>
        </w:tabs>
        <w:spacing w:line="276" w:lineRule="auto"/>
        <w:rPr>
          <w:rFonts w:ascii="Calibri" w:eastAsia="Calibri" w:hAnsi="Calibri" w:cs="Calibri"/>
        </w:rPr>
      </w:pPr>
      <w:r w:rsidRPr="00E81118">
        <w:rPr>
          <w:rFonts w:ascii="Calibri" w:eastAsia="Calibri" w:hAnsi="Calibri" w:cs="Calibri"/>
        </w:rPr>
        <w:tab/>
      </w:r>
      <w:r w:rsidRPr="00E81118">
        <w:rPr>
          <w:rFonts w:ascii="Calibri" w:eastAsia="Calibri" w:hAnsi="Calibri" w:cs="Calibri"/>
        </w:rPr>
        <w:tab/>
      </w:r>
      <w:r w:rsidRPr="00E81118">
        <w:rPr>
          <w:rFonts w:ascii="Calibri" w:eastAsia="Calibri" w:hAnsi="Calibri" w:cs="Calibri"/>
        </w:rPr>
        <w:tab/>
      </w:r>
      <w:r>
        <w:rPr>
          <w:rFonts w:ascii="Calibri" w:eastAsia="Calibri" w:hAnsi="Calibri" w:cs="Times New Roman"/>
          <w:noProof/>
        </w:rPr>
        <w:drawing>
          <wp:inline distT="0" distB="0" distL="0" distR="0" wp14:anchorId="481EABA6" wp14:editId="5BABD88B">
            <wp:extent cx="4596765" cy="2660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96765" cy="2660650"/>
                    </a:xfrm>
                    <a:prstGeom prst="rect">
                      <a:avLst/>
                    </a:prstGeom>
                    <a:noFill/>
                    <a:ln>
                      <a:noFill/>
                    </a:ln>
                  </pic:spPr>
                </pic:pic>
              </a:graphicData>
            </a:graphic>
          </wp:inline>
        </w:drawing>
      </w:r>
      <w:bookmarkStart w:id="8" w:name="_Toc340139257"/>
      <w:bookmarkStart w:id="9" w:name="_GoBack"/>
      <w:bookmarkEnd w:id="9"/>
    </w:p>
    <w:p w:rsidR="00E81118" w:rsidRPr="000A5F98" w:rsidRDefault="000A5F98" w:rsidP="00FC15F2">
      <w:pPr>
        <w:keepNext/>
        <w:keepLines/>
        <w:numPr>
          <w:ilvl w:val="2"/>
          <w:numId w:val="7"/>
        </w:numPr>
        <w:pBdr>
          <w:top w:val="dotted" w:sz="4" w:space="1" w:color="auto"/>
          <w:bottom w:val="dotted" w:sz="4" w:space="1" w:color="auto"/>
        </w:pBdr>
        <w:spacing w:after="0" w:line="276" w:lineRule="auto"/>
        <w:outlineLvl w:val="2"/>
        <w:rPr>
          <w:rFonts w:eastAsia="Times New Roman" w:cs="Times New Roman"/>
          <w:bCs/>
          <w:i/>
          <w:color w:val="808080" w:themeColor="background1" w:themeShade="80"/>
          <w:sz w:val="24"/>
          <w:szCs w:val="24"/>
        </w:rPr>
      </w:pPr>
      <w:r w:rsidRPr="000A5F98">
        <w:rPr>
          <w:rFonts w:eastAsia="Times New Roman" w:cs="Times New Roman"/>
          <w:bCs/>
          <w:i/>
          <w:color w:val="808080" w:themeColor="background1" w:themeShade="80"/>
          <w:sz w:val="24"/>
          <w:szCs w:val="24"/>
        </w:rPr>
        <w:t>ACTUAL EXPENDITURES BY GENERAL ACCOUNT</w:t>
      </w:r>
      <w:bookmarkEnd w:id="8"/>
    </w:p>
    <w:p w:rsidR="00E81118" w:rsidRPr="00E81118" w:rsidRDefault="00E81118" w:rsidP="00E81118">
      <w:pPr>
        <w:spacing w:after="0" w:line="240" w:lineRule="auto"/>
        <w:jc w:val="both"/>
        <w:rPr>
          <w:rFonts w:ascii="Calibri" w:eastAsia="Calibri" w:hAnsi="Calibri" w:cs="Times New Roman"/>
        </w:rPr>
      </w:pPr>
    </w:p>
    <w:p w:rsidR="00333A2E" w:rsidRPr="00427663" w:rsidRDefault="00E81118" w:rsidP="00427663">
      <w:pPr>
        <w:tabs>
          <w:tab w:val="left" w:pos="900"/>
          <w:tab w:val="left" w:pos="1080"/>
        </w:tabs>
        <w:spacing w:line="240" w:lineRule="auto"/>
        <w:jc w:val="both"/>
        <w:rPr>
          <w:rFonts w:ascii="Calibri" w:eastAsia="Calibri" w:hAnsi="Calibri" w:cs="Calibri"/>
        </w:rPr>
      </w:pPr>
      <w:r w:rsidRPr="00E81118">
        <w:rPr>
          <w:rFonts w:ascii="Calibri" w:eastAsia="Calibri" w:hAnsi="Calibri" w:cs="Calibri"/>
        </w:rPr>
        <w:t>The City’s expenditures comprise two major accounts, namely, personnel services and maintenance and other operating expenses.  T</w:t>
      </w:r>
      <w:r w:rsidR="00414330">
        <w:rPr>
          <w:rFonts w:ascii="Calibri" w:eastAsia="Calibri" w:hAnsi="Calibri" w:cs="Calibri"/>
        </w:rPr>
        <w:t>he tab</w:t>
      </w:r>
      <w:r w:rsidRPr="00E81118">
        <w:rPr>
          <w:rFonts w:ascii="Calibri" w:eastAsia="Calibri" w:hAnsi="Calibri" w:cs="Calibri"/>
        </w:rPr>
        <w:t xml:space="preserve">le </w:t>
      </w:r>
      <w:r w:rsidR="00414330">
        <w:rPr>
          <w:rFonts w:ascii="Calibri" w:eastAsia="Calibri" w:hAnsi="Calibri" w:cs="Calibri"/>
        </w:rPr>
        <w:t>below</w:t>
      </w:r>
      <w:r w:rsidRPr="00E81118">
        <w:rPr>
          <w:rFonts w:ascii="Calibri" w:eastAsia="Calibri" w:hAnsi="Calibri" w:cs="Calibri"/>
        </w:rPr>
        <w:t xml:space="preserve"> shows the breakdown of actual expenditures from 2008-2011.</w:t>
      </w:r>
    </w:p>
    <w:tbl>
      <w:tblPr>
        <w:tblpPr w:leftFromText="180" w:rightFromText="180" w:vertAnchor="text" w:horzAnchor="margin" w:tblpXSpec="right" w:tblpY="17"/>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642"/>
        <w:gridCol w:w="1643"/>
        <w:gridCol w:w="1642"/>
        <w:gridCol w:w="1643"/>
      </w:tblGrid>
      <w:tr w:rsidR="000A5F98" w:rsidRPr="00E81118" w:rsidTr="000A5F98">
        <w:trPr>
          <w:trHeight w:val="293"/>
        </w:trPr>
        <w:tc>
          <w:tcPr>
            <w:tcW w:w="8748" w:type="dxa"/>
            <w:gridSpan w:val="5"/>
            <w:tcBorders>
              <w:top w:val="nil"/>
              <w:left w:val="nil"/>
              <w:bottom w:val="single" w:sz="4" w:space="0" w:color="auto"/>
              <w:right w:val="nil"/>
            </w:tcBorders>
            <w:shd w:val="clear" w:color="auto" w:fill="auto"/>
            <w:noWrap/>
            <w:vAlign w:val="bottom"/>
          </w:tcPr>
          <w:p w:rsidR="000A5F98" w:rsidRPr="000A5F98" w:rsidRDefault="000A5F98" w:rsidP="000A5F98">
            <w:pPr>
              <w:tabs>
                <w:tab w:val="left" w:pos="900"/>
                <w:tab w:val="left" w:pos="1080"/>
              </w:tabs>
              <w:spacing w:after="0" w:line="276" w:lineRule="auto"/>
              <w:jc w:val="center"/>
              <w:rPr>
                <w:rFonts w:eastAsia="Calibri" w:cs="Calibri"/>
                <w:b/>
                <w:sz w:val="18"/>
                <w:szCs w:val="18"/>
              </w:rPr>
            </w:pPr>
            <w:r w:rsidRPr="000A5F98">
              <w:rPr>
                <w:rFonts w:eastAsia="Calibri" w:cs="Calibri"/>
                <w:b/>
                <w:sz w:val="18"/>
                <w:szCs w:val="18"/>
              </w:rPr>
              <w:t>TABLE 7.3</w:t>
            </w:r>
          </w:p>
          <w:p w:rsidR="000A5F98" w:rsidRPr="000A5F98" w:rsidRDefault="000A5F98" w:rsidP="000A5F98">
            <w:pPr>
              <w:spacing w:after="120" w:line="240" w:lineRule="auto"/>
              <w:jc w:val="center"/>
              <w:rPr>
                <w:rFonts w:eastAsia="Calibri" w:cs="Calibri"/>
                <w:b/>
                <w:bCs/>
                <w:sz w:val="18"/>
                <w:szCs w:val="18"/>
                <w:u w:val="single"/>
                <w:lang w:val="en-PH" w:eastAsia="en-PH"/>
              </w:rPr>
            </w:pPr>
            <w:r w:rsidRPr="000A5F98">
              <w:rPr>
                <w:rFonts w:eastAsia="Calibri" w:cs="Calibri"/>
                <w:b/>
                <w:sz w:val="18"/>
                <w:szCs w:val="18"/>
              </w:rPr>
              <w:t>ACTUAL EXPENDITURES BY GENERAL ACCOUNT, 2008-2011</w:t>
            </w:r>
          </w:p>
        </w:tc>
      </w:tr>
      <w:tr w:rsidR="00E81118" w:rsidRPr="00E81118" w:rsidTr="000A5F98">
        <w:trPr>
          <w:trHeight w:val="293"/>
        </w:trPr>
        <w:tc>
          <w:tcPr>
            <w:tcW w:w="2178" w:type="dxa"/>
            <w:tcBorders>
              <w:top w:val="single" w:sz="4" w:space="0" w:color="auto"/>
            </w:tcBorders>
            <w:shd w:val="clear" w:color="auto" w:fill="BFBFBF" w:themeFill="background1" w:themeFillShade="BF"/>
            <w:noWrap/>
            <w:vAlign w:val="bottom"/>
            <w:hideMark/>
          </w:tcPr>
          <w:p w:rsidR="00E81118" w:rsidRPr="000A5F98" w:rsidRDefault="00E81118" w:rsidP="000A5F98">
            <w:pPr>
              <w:spacing w:after="0" w:line="240" w:lineRule="auto"/>
              <w:jc w:val="center"/>
              <w:rPr>
                <w:rFonts w:ascii="Calibri" w:eastAsia="Calibri" w:hAnsi="Calibri" w:cs="Calibri"/>
                <w:b/>
                <w:bCs/>
                <w:sz w:val="20"/>
                <w:szCs w:val="20"/>
                <w:lang w:val="en-PH" w:eastAsia="en-PH"/>
              </w:rPr>
            </w:pPr>
            <w:r w:rsidRPr="000A5F98">
              <w:rPr>
                <w:rFonts w:ascii="Calibri" w:eastAsia="Calibri" w:hAnsi="Calibri" w:cs="Calibri"/>
                <w:b/>
                <w:bCs/>
                <w:sz w:val="20"/>
                <w:szCs w:val="20"/>
                <w:lang w:val="en-PH" w:eastAsia="en-PH"/>
              </w:rPr>
              <w:t>Public Expenditures</w:t>
            </w:r>
          </w:p>
        </w:tc>
        <w:tc>
          <w:tcPr>
            <w:tcW w:w="1642" w:type="dxa"/>
            <w:tcBorders>
              <w:top w:val="single" w:sz="4" w:space="0" w:color="auto"/>
            </w:tcBorders>
            <w:shd w:val="clear" w:color="auto" w:fill="BFBFBF" w:themeFill="background1" w:themeFillShade="BF"/>
            <w:noWrap/>
            <w:vAlign w:val="bottom"/>
            <w:hideMark/>
          </w:tcPr>
          <w:p w:rsidR="00E81118" w:rsidRPr="000A5F98" w:rsidRDefault="00E81118" w:rsidP="000A5F98">
            <w:pPr>
              <w:spacing w:after="0" w:line="240" w:lineRule="auto"/>
              <w:jc w:val="center"/>
              <w:rPr>
                <w:rFonts w:ascii="Calibri" w:eastAsia="Calibri" w:hAnsi="Calibri" w:cs="Calibri"/>
                <w:b/>
                <w:bCs/>
                <w:sz w:val="20"/>
                <w:szCs w:val="20"/>
                <w:lang w:val="en-PH" w:eastAsia="en-PH"/>
              </w:rPr>
            </w:pPr>
            <w:r w:rsidRPr="000A5F98">
              <w:rPr>
                <w:rFonts w:ascii="Calibri" w:eastAsia="Calibri" w:hAnsi="Calibri" w:cs="Calibri"/>
                <w:b/>
                <w:bCs/>
                <w:sz w:val="20"/>
                <w:szCs w:val="20"/>
                <w:lang w:val="en-PH" w:eastAsia="en-PH"/>
              </w:rPr>
              <w:t>2011</w:t>
            </w:r>
          </w:p>
        </w:tc>
        <w:tc>
          <w:tcPr>
            <w:tcW w:w="1643" w:type="dxa"/>
            <w:tcBorders>
              <w:top w:val="single" w:sz="4" w:space="0" w:color="auto"/>
            </w:tcBorders>
            <w:shd w:val="clear" w:color="auto" w:fill="BFBFBF" w:themeFill="background1" w:themeFillShade="BF"/>
            <w:noWrap/>
            <w:vAlign w:val="bottom"/>
            <w:hideMark/>
          </w:tcPr>
          <w:p w:rsidR="00E81118" w:rsidRPr="000A5F98" w:rsidRDefault="00E81118" w:rsidP="000A5F98">
            <w:pPr>
              <w:spacing w:after="0" w:line="240" w:lineRule="auto"/>
              <w:jc w:val="center"/>
              <w:rPr>
                <w:rFonts w:ascii="Calibri" w:eastAsia="Calibri" w:hAnsi="Calibri" w:cs="Calibri"/>
                <w:b/>
                <w:bCs/>
                <w:sz w:val="20"/>
                <w:szCs w:val="20"/>
                <w:lang w:val="en-PH" w:eastAsia="en-PH"/>
              </w:rPr>
            </w:pPr>
            <w:r w:rsidRPr="000A5F98">
              <w:rPr>
                <w:rFonts w:ascii="Calibri" w:eastAsia="Calibri" w:hAnsi="Calibri" w:cs="Calibri"/>
                <w:b/>
                <w:bCs/>
                <w:sz w:val="20"/>
                <w:szCs w:val="20"/>
                <w:lang w:val="en-PH" w:eastAsia="en-PH"/>
              </w:rPr>
              <w:t>2010</w:t>
            </w:r>
          </w:p>
        </w:tc>
        <w:tc>
          <w:tcPr>
            <w:tcW w:w="1642" w:type="dxa"/>
            <w:tcBorders>
              <w:top w:val="single" w:sz="4" w:space="0" w:color="auto"/>
            </w:tcBorders>
            <w:shd w:val="clear" w:color="auto" w:fill="BFBFBF" w:themeFill="background1" w:themeFillShade="BF"/>
            <w:noWrap/>
            <w:vAlign w:val="bottom"/>
            <w:hideMark/>
          </w:tcPr>
          <w:p w:rsidR="00E81118" w:rsidRPr="000A5F98" w:rsidRDefault="00E81118" w:rsidP="000A5F98">
            <w:pPr>
              <w:spacing w:after="0" w:line="240" w:lineRule="auto"/>
              <w:jc w:val="center"/>
              <w:rPr>
                <w:rFonts w:ascii="Calibri" w:eastAsia="Calibri" w:hAnsi="Calibri" w:cs="Calibri"/>
                <w:b/>
                <w:bCs/>
                <w:sz w:val="20"/>
                <w:szCs w:val="20"/>
                <w:lang w:val="en-PH" w:eastAsia="en-PH"/>
              </w:rPr>
            </w:pPr>
            <w:r w:rsidRPr="000A5F98">
              <w:rPr>
                <w:rFonts w:ascii="Calibri" w:eastAsia="Calibri" w:hAnsi="Calibri" w:cs="Calibri"/>
                <w:b/>
                <w:bCs/>
                <w:sz w:val="20"/>
                <w:szCs w:val="20"/>
                <w:lang w:val="en-PH" w:eastAsia="en-PH"/>
              </w:rPr>
              <w:t>2009</w:t>
            </w:r>
          </w:p>
        </w:tc>
        <w:tc>
          <w:tcPr>
            <w:tcW w:w="1643" w:type="dxa"/>
            <w:tcBorders>
              <w:top w:val="single" w:sz="4" w:space="0" w:color="auto"/>
            </w:tcBorders>
            <w:shd w:val="clear" w:color="auto" w:fill="BFBFBF" w:themeFill="background1" w:themeFillShade="BF"/>
            <w:noWrap/>
            <w:vAlign w:val="bottom"/>
            <w:hideMark/>
          </w:tcPr>
          <w:p w:rsidR="00E81118" w:rsidRPr="000A5F98" w:rsidRDefault="00E81118" w:rsidP="000A5F98">
            <w:pPr>
              <w:spacing w:after="0" w:line="240" w:lineRule="auto"/>
              <w:jc w:val="center"/>
              <w:rPr>
                <w:rFonts w:ascii="Calibri" w:eastAsia="Calibri" w:hAnsi="Calibri" w:cs="Calibri"/>
                <w:b/>
                <w:bCs/>
                <w:sz w:val="20"/>
                <w:szCs w:val="20"/>
                <w:lang w:val="en-PH" w:eastAsia="en-PH"/>
              </w:rPr>
            </w:pPr>
            <w:r w:rsidRPr="000A5F98">
              <w:rPr>
                <w:rFonts w:ascii="Calibri" w:eastAsia="Calibri" w:hAnsi="Calibri" w:cs="Calibri"/>
                <w:b/>
                <w:bCs/>
                <w:sz w:val="20"/>
                <w:szCs w:val="20"/>
                <w:lang w:val="en-PH" w:eastAsia="en-PH"/>
              </w:rPr>
              <w:t>2008</w:t>
            </w:r>
          </w:p>
        </w:tc>
      </w:tr>
      <w:tr w:rsidR="00E81118" w:rsidRPr="00E81118" w:rsidTr="000A5F98">
        <w:trPr>
          <w:trHeight w:val="293"/>
        </w:trPr>
        <w:tc>
          <w:tcPr>
            <w:tcW w:w="2178" w:type="dxa"/>
            <w:shd w:val="clear" w:color="auto" w:fill="auto"/>
            <w:vAlign w:val="bottom"/>
            <w:hideMark/>
          </w:tcPr>
          <w:p w:rsidR="00E81118" w:rsidRPr="000A5F98" w:rsidRDefault="00E81118" w:rsidP="000A5F98">
            <w:pPr>
              <w:spacing w:after="0" w:line="276" w:lineRule="auto"/>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 xml:space="preserve">Personal Services </w:t>
            </w:r>
          </w:p>
        </w:tc>
        <w:tc>
          <w:tcPr>
            <w:tcW w:w="1642"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216,342,915.73</w:t>
            </w:r>
          </w:p>
        </w:tc>
        <w:tc>
          <w:tcPr>
            <w:tcW w:w="1643"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192,326,894.28</w:t>
            </w:r>
          </w:p>
        </w:tc>
        <w:tc>
          <w:tcPr>
            <w:tcW w:w="1642"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170,902,945.28</w:t>
            </w:r>
          </w:p>
        </w:tc>
        <w:tc>
          <w:tcPr>
            <w:tcW w:w="1643"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147,174,118.11</w:t>
            </w:r>
          </w:p>
        </w:tc>
      </w:tr>
      <w:tr w:rsidR="00E81118" w:rsidRPr="00E81118" w:rsidTr="000A5F98">
        <w:trPr>
          <w:trHeight w:val="635"/>
        </w:trPr>
        <w:tc>
          <w:tcPr>
            <w:tcW w:w="2178" w:type="dxa"/>
            <w:shd w:val="clear" w:color="auto" w:fill="auto"/>
            <w:vAlign w:val="center"/>
            <w:hideMark/>
          </w:tcPr>
          <w:p w:rsidR="00E81118" w:rsidRPr="000A5F98" w:rsidRDefault="00E81118" w:rsidP="000A5F98">
            <w:pPr>
              <w:spacing w:after="0" w:line="276" w:lineRule="auto"/>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 xml:space="preserve">Maintenance &amp; Other Operating Expenses </w:t>
            </w:r>
          </w:p>
        </w:tc>
        <w:tc>
          <w:tcPr>
            <w:tcW w:w="1642"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235,949,243.60</w:t>
            </w:r>
          </w:p>
        </w:tc>
        <w:tc>
          <w:tcPr>
            <w:tcW w:w="1643"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229,114,110.10</w:t>
            </w:r>
          </w:p>
        </w:tc>
        <w:tc>
          <w:tcPr>
            <w:tcW w:w="1642"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205,693,151.25</w:t>
            </w:r>
          </w:p>
        </w:tc>
        <w:tc>
          <w:tcPr>
            <w:tcW w:w="1643" w:type="dxa"/>
            <w:shd w:val="clear" w:color="auto" w:fill="auto"/>
            <w:noWrap/>
            <w:vAlign w:val="center"/>
            <w:hideMark/>
          </w:tcPr>
          <w:p w:rsidR="00E81118" w:rsidRPr="000A5F98" w:rsidRDefault="00E81118" w:rsidP="000A5F98">
            <w:pPr>
              <w:spacing w:after="0" w:line="276" w:lineRule="auto"/>
              <w:jc w:val="center"/>
              <w:rPr>
                <w:rFonts w:ascii="Calibri" w:eastAsia="Calibri" w:hAnsi="Calibri" w:cs="Calibri"/>
                <w:sz w:val="20"/>
                <w:szCs w:val="20"/>
                <w:lang w:val="en-PH" w:eastAsia="en-PH"/>
              </w:rPr>
            </w:pPr>
            <w:r w:rsidRPr="000A5F98">
              <w:rPr>
                <w:rFonts w:ascii="Calibri" w:eastAsia="Calibri" w:hAnsi="Calibri" w:cs="Calibri"/>
                <w:sz w:val="20"/>
                <w:szCs w:val="20"/>
                <w:lang w:val="en-PH" w:eastAsia="en-PH"/>
              </w:rPr>
              <w:t>168,718,755.46</w:t>
            </w:r>
          </w:p>
        </w:tc>
      </w:tr>
      <w:tr w:rsidR="00E81118" w:rsidRPr="00E81118" w:rsidTr="001F225E">
        <w:trPr>
          <w:trHeight w:val="335"/>
        </w:trPr>
        <w:tc>
          <w:tcPr>
            <w:tcW w:w="2178" w:type="dxa"/>
            <w:shd w:val="clear" w:color="auto" w:fill="BFBFBF" w:themeFill="background1" w:themeFillShade="BF"/>
            <w:vAlign w:val="center"/>
            <w:hideMark/>
          </w:tcPr>
          <w:p w:rsidR="00E81118" w:rsidRPr="000A5F98" w:rsidRDefault="00E81118" w:rsidP="001F225E">
            <w:pPr>
              <w:spacing w:after="0" w:line="240" w:lineRule="auto"/>
              <w:rPr>
                <w:rFonts w:ascii="Calibri" w:eastAsia="Calibri" w:hAnsi="Calibri" w:cs="Calibri"/>
                <w:b/>
                <w:sz w:val="20"/>
                <w:szCs w:val="20"/>
                <w:lang w:val="en-PH" w:eastAsia="en-PH"/>
              </w:rPr>
            </w:pPr>
            <w:r w:rsidRPr="000A5F98">
              <w:rPr>
                <w:rFonts w:ascii="Calibri" w:eastAsia="Calibri" w:hAnsi="Calibri" w:cs="Calibri"/>
                <w:b/>
                <w:sz w:val="20"/>
                <w:szCs w:val="20"/>
                <w:lang w:val="en-PH" w:eastAsia="en-PH"/>
              </w:rPr>
              <w:t>Total</w:t>
            </w:r>
          </w:p>
        </w:tc>
        <w:tc>
          <w:tcPr>
            <w:tcW w:w="1642" w:type="dxa"/>
            <w:shd w:val="clear" w:color="auto" w:fill="BFBFBF" w:themeFill="background1" w:themeFillShade="BF"/>
            <w:vAlign w:val="center"/>
            <w:hideMark/>
          </w:tcPr>
          <w:p w:rsidR="00E81118" w:rsidRPr="000A5F98" w:rsidRDefault="00E81118" w:rsidP="000A5F98">
            <w:pPr>
              <w:spacing w:after="0" w:line="240" w:lineRule="auto"/>
              <w:jc w:val="center"/>
              <w:rPr>
                <w:rFonts w:ascii="Calibri" w:eastAsia="Calibri" w:hAnsi="Calibri" w:cs="Calibri"/>
                <w:b/>
                <w:sz w:val="20"/>
                <w:szCs w:val="20"/>
                <w:lang w:val="en-PH" w:eastAsia="en-PH"/>
              </w:rPr>
            </w:pPr>
            <w:r w:rsidRPr="000A5F98">
              <w:rPr>
                <w:rFonts w:ascii="Calibri" w:eastAsia="Calibri" w:hAnsi="Calibri" w:cs="Calibri"/>
                <w:b/>
                <w:sz w:val="20"/>
                <w:szCs w:val="20"/>
                <w:lang w:val="en-PH" w:eastAsia="en-PH"/>
              </w:rPr>
              <w:t>452,292,159.33</w:t>
            </w:r>
          </w:p>
        </w:tc>
        <w:tc>
          <w:tcPr>
            <w:tcW w:w="1643" w:type="dxa"/>
            <w:shd w:val="clear" w:color="auto" w:fill="BFBFBF" w:themeFill="background1" w:themeFillShade="BF"/>
            <w:vAlign w:val="center"/>
            <w:hideMark/>
          </w:tcPr>
          <w:p w:rsidR="00E81118" w:rsidRPr="000A5F98" w:rsidRDefault="00E81118" w:rsidP="000A5F98">
            <w:pPr>
              <w:spacing w:after="0" w:line="240" w:lineRule="auto"/>
              <w:jc w:val="center"/>
              <w:rPr>
                <w:rFonts w:ascii="Calibri" w:eastAsia="Calibri" w:hAnsi="Calibri" w:cs="Calibri"/>
                <w:b/>
                <w:sz w:val="20"/>
                <w:szCs w:val="20"/>
                <w:lang w:val="en-PH" w:eastAsia="en-PH"/>
              </w:rPr>
            </w:pPr>
            <w:r w:rsidRPr="000A5F98">
              <w:rPr>
                <w:rFonts w:ascii="Calibri" w:eastAsia="Calibri" w:hAnsi="Calibri" w:cs="Calibri"/>
                <w:b/>
                <w:sz w:val="20"/>
                <w:szCs w:val="20"/>
                <w:lang w:val="en-PH" w:eastAsia="en-PH"/>
              </w:rPr>
              <w:t>421,441,004.38</w:t>
            </w:r>
          </w:p>
        </w:tc>
        <w:tc>
          <w:tcPr>
            <w:tcW w:w="1642" w:type="dxa"/>
            <w:shd w:val="clear" w:color="auto" w:fill="BFBFBF" w:themeFill="background1" w:themeFillShade="BF"/>
            <w:vAlign w:val="center"/>
            <w:hideMark/>
          </w:tcPr>
          <w:p w:rsidR="00E81118" w:rsidRPr="000A5F98" w:rsidRDefault="00E81118" w:rsidP="000A5F98">
            <w:pPr>
              <w:spacing w:after="0" w:line="240" w:lineRule="auto"/>
              <w:jc w:val="center"/>
              <w:rPr>
                <w:rFonts w:ascii="Calibri" w:eastAsia="Calibri" w:hAnsi="Calibri" w:cs="Calibri"/>
                <w:b/>
                <w:sz w:val="20"/>
                <w:szCs w:val="20"/>
                <w:lang w:val="en-PH" w:eastAsia="en-PH"/>
              </w:rPr>
            </w:pPr>
            <w:r w:rsidRPr="000A5F98">
              <w:rPr>
                <w:rFonts w:ascii="Calibri" w:eastAsia="Calibri" w:hAnsi="Calibri" w:cs="Calibri"/>
                <w:b/>
                <w:sz w:val="20"/>
                <w:szCs w:val="20"/>
                <w:lang w:val="en-PH" w:eastAsia="en-PH"/>
              </w:rPr>
              <w:t>376,596,096.53</w:t>
            </w:r>
          </w:p>
        </w:tc>
        <w:tc>
          <w:tcPr>
            <w:tcW w:w="1643" w:type="dxa"/>
            <w:shd w:val="clear" w:color="auto" w:fill="BFBFBF" w:themeFill="background1" w:themeFillShade="BF"/>
            <w:vAlign w:val="center"/>
            <w:hideMark/>
          </w:tcPr>
          <w:p w:rsidR="00E81118" w:rsidRPr="000A5F98" w:rsidRDefault="00E81118" w:rsidP="000A5F98">
            <w:pPr>
              <w:spacing w:after="0" w:line="240" w:lineRule="auto"/>
              <w:jc w:val="center"/>
              <w:rPr>
                <w:rFonts w:ascii="Calibri" w:eastAsia="Calibri" w:hAnsi="Calibri" w:cs="Calibri"/>
                <w:b/>
                <w:sz w:val="20"/>
                <w:szCs w:val="20"/>
                <w:lang w:val="en-PH" w:eastAsia="en-PH"/>
              </w:rPr>
            </w:pPr>
            <w:r w:rsidRPr="000A5F98">
              <w:rPr>
                <w:rFonts w:ascii="Calibri" w:eastAsia="Calibri" w:hAnsi="Calibri" w:cs="Calibri"/>
                <w:b/>
                <w:sz w:val="20"/>
                <w:szCs w:val="20"/>
                <w:lang w:val="en-PH" w:eastAsia="en-PH"/>
              </w:rPr>
              <w:t>315,892,873.57</w:t>
            </w:r>
          </w:p>
        </w:tc>
      </w:tr>
    </w:tbl>
    <w:p w:rsidR="00427663" w:rsidRPr="00E81118" w:rsidRDefault="00E81118" w:rsidP="00534225">
      <w:pPr>
        <w:tabs>
          <w:tab w:val="left" w:pos="900"/>
          <w:tab w:val="left" w:pos="1080"/>
        </w:tabs>
        <w:spacing w:after="0" w:line="240" w:lineRule="auto"/>
        <w:ind w:left="1440"/>
        <w:jc w:val="both"/>
        <w:rPr>
          <w:rFonts w:ascii="Calibri" w:eastAsia="Calibri" w:hAnsi="Calibri" w:cs="Calibri"/>
        </w:rPr>
      </w:pPr>
      <w:r w:rsidRPr="00E81118">
        <w:rPr>
          <w:rFonts w:ascii="Calibri" w:eastAsia="Calibri" w:hAnsi="Calibri" w:cs="Calibri"/>
        </w:rPr>
        <w:t xml:space="preserve">  </w:t>
      </w:r>
    </w:p>
    <w:p w:rsidR="00E81118" w:rsidRPr="001F225E" w:rsidRDefault="001F225E" w:rsidP="00FC15F2">
      <w:pPr>
        <w:keepNext/>
        <w:keepLines/>
        <w:numPr>
          <w:ilvl w:val="1"/>
          <w:numId w:val="7"/>
        </w:numPr>
        <w:pBdr>
          <w:bottom w:val="single" w:sz="2" w:space="1" w:color="auto"/>
        </w:pBdr>
        <w:spacing w:before="200" w:after="0" w:line="276" w:lineRule="auto"/>
        <w:ind w:left="720"/>
        <w:outlineLvl w:val="1"/>
        <w:rPr>
          <w:rFonts w:eastAsia="Times New Roman" w:cs="Times New Roman"/>
          <w:b/>
          <w:bCs/>
          <w:color w:val="808080" w:themeColor="background1" w:themeShade="80"/>
          <w:sz w:val="24"/>
          <w:szCs w:val="24"/>
        </w:rPr>
      </w:pPr>
      <w:bookmarkStart w:id="10" w:name="_Toc340139258"/>
      <w:r w:rsidRPr="001F225E">
        <w:rPr>
          <w:rFonts w:eastAsia="Times New Roman" w:cs="Times New Roman"/>
          <w:b/>
          <w:bCs/>
          <w:color w:val="808080" w:themeColor="background1" w:themeShade="80"/>
          <w:sz w:val="24"/>
          <w:szCs w:val="24"/>
        </w:rPr>
        <w:t>DEVELOPMENT LEGISLATION</w:t>
      </w:r>
      <w:bookmarkEnd w:id="10"/>
    </w:p>
    <w:p w:rsidR="001F225E" w:rsidRDefault="001F225E" w:rsidP="001F225E">
      <w:pPr>
        <w:keepNext/>
        <w:keepLines/>
        <w:spacing w:after="0" w:line="276" w:lineRule="auto"/>
        <w:ind w:left="1800"/>
        <w:jc w:val="both"/>
        <w:outlineLvl w:val="2"/>
        <w:rPr>
          <w:rFonts w:ascii="Calibri" w:eastAsia="Times New Roman" w:hAnsi="Calibri" w:cs="Times New Roman"/>
          <w:bCs/>
          <w:i/>
        </w:rPr>
      </w:pPr>
      <w:bookmarkStart w:id="11" w:name="_Toc340139259"/>
    </w:p>
    <w:p w:rsidR="00E81118" w:rsidRPr="001F225E" w:rsidRDefault="001F225E" w:rsidP="00FC15F2">
      <w:pPr>
        <w:keepNext/>
        <w:keepLines/>
        <w:numPr>
          <w:ilvl w:val="2"/>
          <w:numId w:val="7"/>
        </w:numPr>
        <w:pBdr>
          <w:top w:val="dotted" w:sz="4" w:space="1" w:color="auto"/>
          <w:bottom w:val="dotted" w:sz="4" w:space="1" w:color="auto"/>
        </w:pBdr>
        <w:spacing w:after="0" w:line="276" w:lineRule="auto"/>
        <w:ind w:left="1440"/>
        <w:jc w:val="both"/>
        <w:outlineLvl w:val="2"/>
        <w:rPr>
          <w:rFonts w:eastAsia="Times New Roman" w:cs="Times New Roman"/>
          <w:bCs/>
          <w:i/>
          <w:color w:val="808080" w:themeColor="background1" w:themeShade="80"/>
          <w:sz w:val="24"/>
          <w:szCs w:val="24"/>
        </w:rPr>
      </w:pPr>
      <w:r w:rsidRPr="001F225E">
        <w:rPr>
          <w:rFonts w:eastAsia="Times New Roman" w:cs="Times New Roman"/>
          <w:bCs/>
          <w:i/>
          <w:color w:val="808080" w:themeColor="background1" w:themeShade="80"/>
          <w:sz w:val="24"/>
          <w:szCs w:val="24"/>
        </w:rPr>
        <w:t>INVENTORY OF RESOLUTIONS PASSED/ ORDINANCES ENACTED, BY SECTOR, BY YEAR</w:t>
      </w:r>
      <w:bookmarkEnd w:id="11"/>
    </w:p>
    <w:p w:rsidR="00411323" w:rsidRDefault="00411323" w:rsidP="00E81118">
      <w:pPr>
        <w:spacing w:after="0" w:line="240" w:lineRule="auto"/>
        <w:ind w:firstLine="720"/>
        <w:jc w:val="both"/>
        <w:rPr>
          <w:rFonts w:ascii="Calibri" w:eastAsia="Calibri" w:hAnsi="Calibri" w:cs="Times New Roman"/>
        </w:rPr>
      </w:pPr>
    </w:p>
    <w:p w:rsidR="00E81118" w:rsidRDefault="00E81118" w:rsidP="00411323">
      <w:pPr>
        <w:spacing w:after="0" w:line="240" w:lineRule="auto"/>
        <w:jc w:val="both"/>
        <w:rPr>
          <w:rFonts w:ascii="Calibri" w:eastAsia="Calibri" w:hAnsi="Calibri" w:cs="Times New Roman"/>
        </w:rPr>
      </w:pPr>
      <w:r w:rsidRPr="00E81118">
        <w:rPr>
          <w:rFonts w:ascii="Calibri" w:eastAsia="Calibri" w:hAnsi="Calibri" w:cs="Times New Roman"/>
        </w:rPr>
        <w:t>There were 375 resolutions passed and 28 ordinances enacted for the Year 2010 while 464 resolutions and 12 ordinances were acted for the Year 2011.</w:t>
      </w:r>
    </w:p>
    <w:p w:rsidR="00411323" w:rsidRPr="00E81118" w:rsidRDefault="00411323" w:rsidP="00411323">
      <w:pPr>
        <w:spacing w:after="0" w:line="240" w:lineRule="auto"/>
        <w:ind w:firstLine="720"/>
        <w:jc w:val="both"/>
        <w:rPr>
          <w:rFonts w:ascii="Calibri" w:eastAsia="Calibri" w:hAnsi="Calibri" w:cs="Times New Roman"/>
        </w:rPr>
      </w:pPr>
    </w:p>
    <w:p w:rsidR="00E81118" w:rsidRPr="00E81118" w:rsidRDefault="00E81118" w:rsidP="00411323">
      <w:pPr>
        <w:spacing w:after="0" w:line="276" w:lineRule="auto"/>
        <w:jc w:val="both"/>
        <w:rPr>
          <w:rFonts w:ascii="Calibri" w:eastAsia="Calibri" w:hAnsi="Calibri" w:cs="Times New Roman"/>
        </w:rPr>
      </w:pPr>
      <w:r w:rsidRPr="00E81118">
        <w:rPr>
          <w:rFonts w:ascii="Calibri" w:eastAsia="Calibri" w:hAnsi="Calibri" w:cs="Times New Roman"/>
        </w:rPr>
        <w:t xml:space="preserve">Most of these resolutions pertain to the program of works and detailed estimates of various programs and projects of the </w:t>
      </w:r>
      <w:r w:rsidR="00411323">
        <w:rPr>
          <w:rFonts w:ascii="Calibri" w:eastAsia="Calibri" w:hAnsi="Calibri" w:cs="Times New Roman"/>
        </w:rPr>
        <w:t>C</w:t>
      </w:r>
      <w:r w:rsidRPr="00E81118">
        <w:rPr>
          <w:rFonts w:ascii="Calibri" w:eastAsia="Calibri" w:hAnsi="Calibri" w:cs="Times New Roman"/>
        </w:rPr>
        <w:t xml:space="preserve">ity, the authority granted to the City Mayor for contracts/agreements of which the City is involved with, approval of budgets, concurrence with the CDC resolutions, financial assistance, etc.  Ordinances were enacted particularly on creation or reorganization of organizational structure and staffing pattern of the City Government, budget appropriations of the </w:t>
      </w:r>
      <w:r w:rsidR="003A30D1">
        <w:rPr>
          <w:rFonts w:ascii="Calibri" w:eastAsia="Calibri" w:hAnsi="Calibri" w:cs="Times New Roman"/>
        </w:rPr>
        <w:t>C</w:t>
      </w:r>
      <w:r w:rsidRPr="00E81118">
        <w:rPr>
          <w:rFonts w:ascii="Calibri" w:eastAsia="Calibri" w:hAnsi="Calibri" w:cs="Times New Roman"/>
        </w:rPr>
        <w:t xml:space="preserve">ity and the barangays, amendments/realignments of existing ordinances, etc.  </w:t>
      </w:r>
    </w:p>
    <w:p w:rsidR="00E81118" w:rsidRPr="00E81118" w:rsidRDefault="00E81118" w:rsidP="00FC15F2">
      <w:pPr>
        <w:spacing w:after="0" w:line="276" w:lineRule="auto"/>
        <w:ind w:firstLine="720"/>
        <w:rPr>
          <w:rFonts w:ascii="Calibri" w:eastAsia="Calibri" w:hAnsi="Calibri" w:cs="Times New Roman"/>
        </w:rPr>
      </w:pPr>
      <w:r w:rsidRPr="00E81118">
        <w:rPr>
          <w:rFonts w:ascii="Calibri" w:eastAsia="Calibri" w:hAnsi="Calibri" w:cs="Times New Roman"/>
        </w:rPr>
        <w:lastRenderedPageBreak/>
        <w:t xml:space="preserve"> </w:t>
      </w:r>
    </w:p>
    <w:p w:rsidR="00E81118" w:rsidRPr="00411323" w:rsidRDefault="00411323" w:rsidP="00FC15F2">
      <w:pPr>
        <w:keepNext/>
        <w:keepLines/>
        <w:numPr>
          <w:ilvl w:val="1"/>
          <w:numId w:val="7"/>
        </w:numPr>
        <w:pBdr>
          <w:bottom w:val="single" w:sz="2" w:space="1" w:color="000000" w:themeColor="text1"/>
        </w:pBdr>
        <w:spacing w:after="0" w:line="276" w:lineRule="auto"/>
        <w:ind w:left="720"/>
        <w:outlineLvl w:val="1"/>
        <w:rPr>
          <w:rFonts w:eastAsia="Times New Roman" w:cs="Times New Roman"/>
          <w:b/>
          <w:bCs/>
          <w:color w:val="7F7F7F"/>
          <w:sz w:val="24"/>
          <w:szCs w:val="24"/>
        </w:rPr>
      </w:pPr>
      <w:bookmarkStart w:id="12" w:name="_Toc340139260"/>
      <w:r w:rsidRPr="00411323">
        <w:rPr>
          <w:rFonts w:eastAsia="Times New Roman" w:cs="Times New Roman"/>
          <w:b/>
          <w:bCs/>
          <w:color w:val="7F7F7F"/>
          <w:sz w:val="24"/>
          <w:szCs w:val="24"/>
        </w:rPr>
        <w:t>LGU-CSO-PRIVATE SECTOR LINKAGES</w:t>
      </w:r>
      <w:bookmarkEnd w:id="12"/>
    </w:p>
    <w:p w:rsidR="00411323" w:rsidRDefault="00411323" w:rsidP="00411323">
      <w:pPr>
        <w:spacing w:after="0" w:line="276" w:lineRule="auto"/>
        <w:ind w:left="810"/>
        <w:jc w:val="both"/>
        <w:rPr>
          <w:rFonts w:ascii="Calibri" w:eastAsia="Calibri" w:hAnsi="Calibri" w:cs="Calibri"/>
        </w:rPr>
      </w:pPr>
    </w:p>
    <w:p w:rsidR="00E81118" w:rsidRDefault="00E81118" w:rsidP="00411323">
      <w:pPr>
        <w:spacing w:after="0" w:line="240" w:lineRule="auto"/>
        <w:jc w:val="both"/>
        <w:rPr>
          <w:rFonts w:ascii="Calibri" w:eastAsia="Calibri" w:hAnsi="Calibri" w:cs="Calibri"/>
        </w:rPr>
      </w:pPr>
      <w:r w:rsidRPr="00E81118">
        <w:rPr>
          <w:rFonts w:ascii="Calibri" w:eastAsia="Calibri" w:hAnsi="Calibri" w:cs="Calibri"/>
        </w:rPr>
        <w:t>The following are the linkages of the San Carlos City Government with different partner agencies and with corresponding SP Resolutions:</w:t>
      </w:r>
    </w:p>
    <w:p w:rsidR="00411323" w:rsidRPr="00E81118" w:rsidRDefault="00411323" w:rsidP="00411323">
      <w:pPr>
        <w:spacing w:after="0" w:line="240" w:lineRule="auto"/>
        <w:ind w:left="810"/>
        <w:jc w:val="both"/>
        <w:rPr>
          <w:rFonts w:ascii="Calibri" w:eastAsia="Calibri" w:hAnsi="Calibri" w:cs="Calibri"/>
        </w:rPr>
      </w:pPr>
    </w:p>
    <w:p w:rsidR="00E81118" w:rsidRPr="00E81118" w:rsidRDefault="00E81118" w:rsidP="00411323">
      <w:pPr>
        <w:numPr>
          <w:ilvl w:val="0"/>
          <w:numId w:val="5"/>
        </w:numPr>
        <w:spacing w:after="0" w:line="240" w:lineRule="auto"/>
        <w:ind w:left="360"/>
        <w:jc w:val="both"/>
        <w:rPr>
          <w:rFonts w:ascii="Calibri" w:eastAsia="Calibri" w:hAnsi="Calibri" w:cs="Calibri"/>
        </w:rPr>
      </w:pPr>
      <w:r w:rsidRPr="00E81118">
        <w:rPr>
          <w:rFonts w:ascii="Calibri" w:eastAsia="Calibri" w:hAnsi="Calibri" w:cs="Calibri"/>
        </w:rPr>
        <w:t xml:space="preserve"> Resolution No. 11</w:t>
      </w:r>
      <w:r w:rsidR="003A30D1">
        <w:rPr>
          <w:rFonts w:ascii="Calibri" w:eastAsia="Calibri" w:hAnsi="Calibri" w:cs="Calibri"/>
        </w:rPr>
        <w:t>-160 – MOA With The Department o</w:t>
      </w:r>
      <w:r w:rsidRPr="00E81118">
        <w:rPr>
          <w:rFonts w:ascii="Calibri" w:eastAsia="Calibri" w:hAnsi="Calibri" w:cs="Calibri"/>
        </w:rPr>
        <w:t xml:space="preserve">f Labor </w:t>
      </w:r>
      <w:r w:rsidR="003A30D1">
        <w:rPr>
          <w:rFonts w:ascii="Calibri" w:eastAsia="Calibri" w:hAnsi="Calibri" w:cs="Calibri"/>
        </w:rPr>
        <w:t>and Employment (DOLE) for the Implementation of Capacity Building Services for Livelihood i</w:t>
      </w:r>
      <w:r w:rsidRPr="00E81118">
        <w:rPr>
          <w:rFonts w:ascii="Calibri" w:eastAsia="Calibri" w:hAnsi="Calibri" w:cs="Calibri"/>
        </w:rPr>
        <w:t xml:space="preserve">n Pursuant </w:t>
      </w:r>
      <w:r w:rsidR="003A30D1">
        <w:rPr>
          <w:rFonts w:ascii="Calibri" w:eastAsia="Calibri" w:hAnsi="Calibri" w:cs="Calibri"/>
        </w:rPr>
        <w:t>t</w:t>
      </w:r>
      <w:r w:rsidRPr="00E81118">
        <w:rPr>
          <w:rFonts w:ascii="Calibri" w:eastAsia="Calibri" w:hAnsi="Calibri" w:cs="Calibri"/>
        </w:rPr>
        <w:t>o Admini</w:t>
      </w:r>
      <w:r w:rsidR="003A30D1">
        <w:rPr>
          <w:rFonts w:ascii="Calibri" w:eastAsia="Calibri" w:hAnsi="Calibri" w:cs="Calibri"/>
        </w:rPr>
        <w:t>strative Order No. 262, Series o</w:t>
      </w:r>
      <w:r w:rsidRPr="00E81118">
        <w:rPr>
          <w:rFonts w:ascii="Calibri" w:eastAsia="Calibri" w:hAnsi="Calibri" w:cs="Calibri"/>
        </w:rPr>
        <w:t>f 2008;</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3A30D1" w:rsidP="00411323">
      <w:pPr>
        <w:numPr>
          <w:ilvl w:val="0"/>
          <w:numId w:val="5"/>
        </w:numPr>
        <w:spacing w:after="0" w:line="240" w:lineRule="auto"/>
        <w:ind w:left="360"/>
        <w:jc w:val="both"/>
        <w:rPr>
          <w:rFonts w:ascii="Calibri" w:eastAsia="Calibri" w:hAnsi="Calibri" w:cs="Calibri"/>
        </w:rPr>
      </w:pPr>
      <w:r>
        <w:rPr>
          <w:rFonts w:ascii="Calibri" w:eastAsia="Calibri" w:hAnsi="Calibri" w:cs="Calibri"/>
        </w:rPr>
        <w:t>Resolution No. 11-282 – MOA By and Among t</w:t>
      </w:r>
      <w:r w:rsidR="00E81118" w:rsidRPr="00E81118">
        <w:rPr>
          <w:rFonts w:ascii="Calibri" w:eastAsia="Calibri" w:hAnsi="Calibri" w:cs="Calibri"/>
        </w:rPr>
        <w:t xml:space="preserve">he Julio And Florentina Ledesma Foundation, Inc. (JFLFI); Ramon Aboitiz Foundation, Inc. (RAFI); </w:t>
      </w:r>
      <w:r>
        <w:rPr>
          <w:rFonts w:ascii="Calibri" w:eastAsia="Calibri" w:hAnsi="Calibri" w:cs="Calibri"/>
        </w:rPr>
        <w:t>and the City Government of San Carlos to Facilitate the Application of the San Carlos Enviro-Blox in the Country particularly in t</w:t>
      </w:r>
      <w:r w:rsidR="00E81118" w:rsidRPr="00E81118">
        <w:rPr>
          <w:rFonts w:ascii="Calibri" w:eastAsia="Calibri" w:hAnsi="Calibri" w:cs="Calibri"/>
        </w:rPr>
        <w:t>he Visayas Region;</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E81118" w:rsidP="00411323">
      <w:pPr>
        <w:numPr>
          <w:ilvl w:val="0"/>
          <w:numId w:val="5"/>
        </w:numPr>
        <w:spacing w:after="0" w:line="240" w:lineRule="auto"/>
        <w:ind w:left="360"/>
        <w:jc w:val="both"/>
        <w:rPr>
          <w:rFonts w:ascii="Calibri" w:eastAsia="Calibri" w:hAnsi="Calibri" w:cs="Calibri"/>
        </w:rPr>
      </w:pPr>
      <w:r w:rsidRPr="00E81118">
        <w:rPr>
          <w:rFonts w:ascii="Calibri" w:eastAsia="Calibri" w:hAnsi="Calibri" w:cs="Calibri"/>
        </w:rPr>
        <w:t xml:space="preserve">Resolution No. 11-246 – MOA </w:t>
      </w:r>
      <w:r w:rsidR="003A30D1" w:rsidRPr="00E81118">
        <w:rPr>
          <w:rFonts w:ascii="Calibri" w:eastAsia="Calibri" w:hAnsi="Calibri" w:cs="Calibri"/>
        </w:rPr>
        <w:t xml:space="preserve">with the </w:t>
      </w:r>
      <w:r w:rsidR="003A30D1">
        <w:rPr>
          <w:rFonts w:ascii="Calibri" w:eastAsia="Calibri" w:hAnsi="Calibri" w:cs="Calibri"/>
        </w:rPr>
        <w:t>Provincial Government o</w:t>
      </w:r>
      <w:r w:rsidRPr="00E81118">
        <w:rPr>
          <w:rFonts w:ascii="Calibri" w:eastAsia="Calibri" w:hAnsi="Calibri" w:cs="Calibri"/>
        </w:rPr>
        <w:t>f</w:t>
      </w:r>
      <w:r w:rsidR="003A30D1">
        <w:rPr>
          <w:rFonts w:ascii="Calibri" w:eastAsia="Calibri" w:hAnsi="Calibri" w:cs="Calibri"/>
        </w:rPr>
        <w:t xml:space="preserve"> Negros Occidental Relative to t</w:t>
      </w:r>
      <w:r w:rsidRPr="00E81118">
        <w:rPr>
          <w:rFonts w:ascii="Calibri" w:eastAsia="Calibri" w:hAnsi="Calibri" w:cs="Calibri"/>
        </w:rPr>
        <w:t xml:space="preserve">he Financial Assistance Granted </w:t>
      </w:r>
      <w:r w:rsidR="003A30D1">
        <w:rPr>
          <w:rFonts w:ascii="Calibri" w:eastAsia="Calibri" w:hAnsi="Calibri" w:cs="Calibri"/>
        </w:rPr>
        <w:t>t</w:t>
      </w:r>
      <w:r w:rsidRPr="00E81118">
        <w:rPr>
          <w:rFonts w:ascii="Calibri" w:eastAsia="Calibri" w:hAnsi="Calibri" w:cs="Calibri"/>
        </w:rPr>
        <w:t xml:space="preserve">o Brgy. 1 Womens Association </w:t>
      </w:r>
      <w:r w:rsidR="003A30D1">
        <w:rPr>
          <w:rFonts w:ascii="Calibri" w:eastAsia="Calibri" w:hAnsi="Calibri" w:cs="Calibri"/>
        </w:rPr>
        <w:t>a</w:t>
      </w:r>
      <w:r w:rsidRPr="00E81118">
        <w:rPr>
          <w:rFonts w:ascii="Calibri" w:eastAsia="Calibri" w:hAnsi="Calibri" w:cs="Calibri"/>
        </w:rPr>
        <w:t>nd Rizalian Women’s Association For Alternative Livelihood Project;</w:t>
      </w:r>
    </w:p>
    <w:p w:rsidR="00E81118" w:rsidRPr="00E81118" w:rsidRDefault="00E81118" w:rsidP="00E81118">
      <w:pPr>
        <w:spacing w:after="0" w:line="240" w:lineRule="auto"/>
        <w:ind w:left="1080"/>
        <w:jc w:val="both"/>
        <w:rPr>
          <w:rFonts w:ascii="Calibri" w:eastAsia="Calibri" w:hAnsi="Calibri" w:cs="Calibri"/>
        </w:rPr>
      </w:pPr>
    </w:p>
    <w:p w:rsidR="00E81118" w:rsidRPr="00E81118" w:rsidRDefault="00530FAD" w:rsidP="00411323">
      <w:pPr>
        <w:numPr>
          <w:ilvl w:val="0"/>
          <w:numId w:val="5"/>
        </w:numPr>
        <w:spacing w:after="0" w:line="240" w:lineRule="auto"/>
        <w:ind w:left="360"/>
        <w:jc w:val="both"/>
        <w:rPr>
          <w:rFonts w:ascii="Calibri" w:eastAsia="Calibri" w:hAnsi="Calibri" w:cs="Calibri"/>
        </w:rPr>
      </w:pPr>
      <w:r>
        <w:rPr>
          <w:rFonts w:ascii="Calibri" w:eastAsia="Calibri" w:hAnsi="Calibri" w:cs="Calibri"/>
        </w:rPr>
        <w:t>Resolution No. 11-37 – MOA w</w:t>
      </w:r>
      <w:r w:rsidR="00E81118" w:rsidRPr="00E81118">
        <w:rPr>
          <w:rFonts w:ascii="Calibri" w:eastAsia="Calibri" w:hAnsi="Calibri" w:cs="Calibri"/>
        </w:rPr>
        <w:t xml:space="preserve">ith </w:t>
      </w:r>
      <w:r>
        <w:rPr>
          <w:rFonts w:ascii="Calibri" w:eastAsia="Calibri" w:hAnsi="Calibri" w:cs="Calibri"/>
        </w:rPr>
        <w:t>t</w:t>
      </w:r>
      <w:r w:rsidR="00E81118" w:rsidRPr="00E81118">
        <w:rPr>
          <w:rFonts w:ascii="Calibri" w:eastAsia="Calibri" w:hAnsi="Calibri" w:cs="Calibri"/>
        </w:rPr>
        <w:t xml:space="preserve">he Department </w:t>
      </w:r>
      <w:r>
        <w:rPr>
          <w:rFonts w:ascii="Calibri" w:eastAsia="Calibri" w:hAnsi="Calibri" w:cs="Calibri"/>
        </w:rPr>
        <w:t>o</w:t>
      </w:r>
      <w:r w:rsidR="00E81118" w:rsidRPr="00E81118">
        <w:rPr>
          <w:rFonts w:ascii="Calibri" w:eastAsia="Calibri" w:hAnsi="Calibri" w:cs="Calibri"/>
        </w:rPr>
        <w:t xml:space="preserve">f Labor </w:t>
      </w:r>
      <w:r>
        <w:rPr>
          <w:rFonts w:ascii="Calibri" w:eastAsia="Calibri" w:hAnsi="Calibri" w:cs="Calibri"/>
        </w:rPr>
        <w:t>a</w:t>
      </w:r>
      <w:r w:rsidR="00E81118" w:rsidRPr="00E81118">
        <w:rPr>
          <w:rFonts w:ascii="Calibri" w:eastAsia="Calibri" w:hAnsi="Calibri" w:cs="Calibri"/>
        </w:rPr>
        <w:t xml:space="preserve">nd Employment (DOLE) </w:t>
      </w:r>
      <w:r>
        <w:rPr>
          <w:rFonts w:ascii="Calibri" w:eastAsia="Calibri" w:hAnsi="Calibri" w:cs="Calibri"/>
        </w:rPr>
        <w:t>p</w:t>
      </w:r>
      <w:r w:rsidR="00E81118" w:rsidRPr="00E81118">
        <w:rPr>
          <w:rFonts w:ascii="Calibri" w:eastAsia="Calibri" w:hAnsi="Calibri" w:cs="Calibri"/>
        </w:rPr>
        <w:t xml:space="preserve">ursuant </w:t>
      </w:r>
      <w:r>
        <w:rPr>
          <w:rFonts w:ascii="Calibri" w:eastAsia="Calibri" w:hAnsi="Calibri" w:cs="Calibri"/>
        </w:rPr>
        <w:t>t</w:t>
      </w:r>
      <w:r w:rsidR="00E81118" w:rsidRPr="00E81118">
        <w:rPr>
          <w:rFonts w:ascii="Calibri" w:eastAsia="Calibri" w:hAnsi="Calibri" w:cs="Calibri"/>
        </w:rPr>
        <w:t xml:space="preserve">o </w:t>
      </w:r>
      <w:r>
        <w:rPr>
          <w:rFonts w:ascii="Calibri" w:eastAsia="Calibri" w:hAnsi="Calibri" w:cs="Calibri"/>
        </w:rPr>
        <w:t>t</w:t>
      </w:r>
      <w:r w:rsidR="00E81118" w:rsidRPr="00E81118">
        <w:rPr>
          <w:rFonts w:ascii="Calibri" w:eastAsia="Calibri" w:hAnsi="Calibri" w:cs="Calibri"/>
        </w:rPr>
        <w:t xml:space="preserve">he Establishment </w:t>
      </w:r>
      <w:r>
        <w:rPr>
          <w:rFonts w:ascii="Calibri" w:eastAsia="Calibri" w:hAnsi="Calibri" w:cs="Calibri"/>
        </w:rPr>
        <w:t>and Promotion of a</w:t>
      </w:r>
      <w:r w:rsidR="00E81118" w:rsidRPr="00E81118">
        <w:rPr>
          <w:rFonts w:ascii="Calibri" w:eastAsia="Calibri" w:hAnsi="Calibri" w:cs="Calibri"/>
        </w:rPr>
        <w:t xml:space="preserve"> S</w:t>
      </w:r>
      <w:r>
        <w:rPr>
          <w:rFonts w:ascii="Calibri" w:eastAsia="Calibri" w:hAnsi="Calibri" w:cs="Calibri"/>
        </w:rPr>
        <w:t>kills Registry System (SRS) In t</w:t>
      </w:r>
      <w:r w:rsidR="00E81118" w:rsidRPr="00E81118">
        <w:rPr>
          <w:rFonts w:ascii="Calibri" w:eastAsia="Calibri" w:hAnsi="Calibri" w:cs="Calibri"/>
        </w:rPr>
        <w:t xml:space="preserve">he City </w:t>
      </w:r>
      <w:r>
        <w:rPr>
          <w:rFonts w:ascii="Calibri" w:eastAsia="Calibri" w:hAnsi="Calibri" w:cs="Calibri"/>
        </w:rPr>
        <w:t>of</w:t>
      </w:r>
      <w:r w:rsidR="00E81118" w:rsidRPr="00E81118">
        <w:rPr>
          <w:rFonts w:ascii="Calibri" w:eastAsia="Calibri" w:hAnsi="Calibri" w:cs="Calibri"/>
        </w:rPr>
        <w:t>f San Carlos;</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E81118" w:rsidP="00411323">
      <w:pPr>
        <w:numPr>
          <w:ilvl w:val="0"/>
          <w:numId w:val="5"/>
        </w:numPr>
        <w:spacing w:after="0" w:line="240" w:lineRule="auto"/>
        <w:ind w:left="360"/>
        <w:jc w:val="both"/>
        <w:rPr>
          <w:rFonts w:ascii="Calibri" w:eastAsia="Calibri" w:hAnsi="Calibri" w:cs="Calibri"/>
        </w:rPr>
      </w:pPr>
      <w:r w:rsidRPr="00E81118">
        <w:rPr>
          <w:rFonts w:ascii="Calibri" w:eastAsia="Calibri" w:hAnsi="Calibri" w:cs="Calibri"/>
        </w:rPr>
        <w:t xml:space="preserve">Resolution No. 11-259 – MOA </w:t>
      </w:r>
      <w:r w:rsidR="00530FAD">
        <w:rPr>
          <w:rFonts w:ascii="Calibri" w:eastAsia="Calibri" w:hAnsi="Calibri" w:cs="Calibri"/>
        </w:rPr>
        <w:t>w</w:t>
      </w:r>
      <w:r w:rsidRPr="00E81118">
        <w:rPr>
          <w:rFonts w:ascii="Calibri" w:eastAsia="Calibri" w:hAnsi="Calibri" w:cs="Calibri"/>
        </w:rPr>
        <w:t xml:space="preserve">ith </w:t>
      </w:r>
      <w:r w:rsidR="00530FAD">
        <w:rPr>
          <w:rFonts w:ascii="Calibri" w:eastAsia="Calibri" w:hAnsi="Calibri" w:cs="Calibri"/>
        </w:rPr>
        <w:t>t</w:t>
      </w:r>
      <w:r w:rsidRPr="00E81118">
        <w:rPr>
          <w:rFonts w:ascii="Calibri" w:eastAsia="Calibri" w:hAnsi="Calibri" w:cs="Calibri"/>
        </w:rPr>
        <w:t xml:space="preserve">he Department Of Science And Technology – Region VI </w:t>
      </w:r>
      <w:r w:rsidR="00530FAD">
        <w:rPr>
          <w:rFonts w:ascii="Calibri" w:eastAsia="Calibri" w:hAnsi="Calibri" w:cs="Calibri"/>
        </w:rPr>
        <w:t>a</w:t>
      </w:r>
      <w:r w:rsidRPr="00E81118">
        <w:rPr>
          <w:rFonts w:ascii="Calibri" w:eastAsia="Calibri" w:hAnsi="Calibri" w:cs="Calibri"/>
        </w:rPr>
        <w:t xml:space="preserve">nd </w:t>
      </w:r>
      <w:r w:rsidR="00530FAD">
        <w:rPr>
          <w:rFonts w:ascii="Calibri" w:eastAsia="Calibri" w:hAnsi="Calibri" w:cs="Calibri"/>
        </w:rPr>
        <w:t>t</w:t>
      </w:r>
      <w:r w:rsidRPr="00E81118">
        <w:rPr>
          <w:rFonts w:ascii="Calibri" w:eastAsia="Calibri" w:hAnsi="Calibri" w:cs="Calibri"/>
        </w:rPr>
        <w:t>he Carlos Hilado Memorial</w:t>
      </w:r>
      <w:r w:rsidR="00530FAD">
        <w:rPr>
          <w:rFonts w:ascii="Calibri" w:eastAsia="Calibri" w:hAnsi="Calibri" w:cs="Calibri"/>
        </w:rPr>
        <w:t xml:space="preserve"> State College (CHMSC) f</w:t>
      </w:r>
      <w:r w:rsidRPr="00E81118">
        <w:rPr>
          <w:rFonts w:ascii="Calibri" w:eastAsia="Calibri" w:hAnsi="Calibri" w:cs="Calibri"/>
        </w:rPr>
        <w:t xml:space="preserve">or DOST’s Grant </w:t>
      </w:r>
      <w:r w:rsidR="00530FAD">
        <w:rPr>
          <w:rFonts w:ascii="Calibri" w:eastAsia="Calibri" w:hAnsi="Calibri" w:cs="Calibri"/>
        </w:rPr>
        <w:t>of Basic Food Processing Tools and Equipment to t</w:t>
      </w:r>
      <w:r w:rsidRPr="00E81118">
        <w:rPr>
          <w:rFonts w:ascii="Calibri" w:eastAsia="Calibri" w:hAnsi="Calibri" w:cs="Calibri"/>
        </w:rPr>
        <w:t xml:space="preserve">he City Government </w:t>
      </w:r>
      <w:r w:rsidR="00530FAD">
        <w:rPr>
          <w:rFonts w:ascii="Calibri" w:eastAsia="Calibri" w:hAnsi="Calibri" w:cs="Calibri"/>
        </w:rPr>
        <w:t>of San Carlos for i</w:t>
      </w:r>
      <w:r w:rsidRPr="00E81118">
        <w:rPr>
          <w:rFonts w:ascii="Calibri" w:eastAsia="Calibri" w:hAnsi="Calibri" w:cs="Calibri"/>
        </w:rPr>
        <w:t>ts Micro-Enterprise Development Program;</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FF725F" w:rsidP="00411323">
      <w:pPr>
        <w:numPr>
          <w:ilvl w:val="0"/>
          <w:numId w:val="5"/>
        </w:numPr>
        <w:spacing w:after="0" w:line="240" w:lineRule="auto"/>
        <w:ind w:left="360"/>
        <w:jc w:val="both"/>
        <w:rPr>
          <w:rFonts w:ascii="Calibri" w:eastAsia="Calibri" w:hAnsi="Calibri" w:cs="Calibri"/>
        </w:rPr>
      </w:pPr>
      <w:r>
        <w:rPr>
          <w:rFonts w:ascii="Calibri" w:eastAsia="Calibri" w:hAnsi="Calibri" w:cs="Calibri"/>
        </w:rPr>
        <w:t>Resolution No. 11-105 – MOA w</w:t>
      </w:r>
      <w:r w:rsidR="00E81118" w:rsidRPr="00E81118">
        <w:rPr>
          <w:rFonts w:ascii="Calibri" w:eastAsia="Calibri" w:hAnsi="Calibri" w:cs="Calibri"/>
        </w:rPr>
        <w:t xml:space="preserve">ith </w:t>
      </w:r>
      <w:r>
        <w:rPr>
          <w:rFonts w:ascii="Calibri" w:eastAsia="Calibri" w:hAnsi="Calibri" w:cs="Calibri"/>
        </w:rPr>
        <w:t>the Provincial Government of Negros Occidental for g</w:t>
      </w:r>
      <w:r w:rsidR="00E81118" w:rsidRPr="00E81118">
        <w:rPr>
          <w:rFonts w:ascii="Calibri" w:eastAsia="Calibri" w:hAnsi="Calibri" w:cs="Calibri"/>
        </w:rPr>
        <w:t xml:space="preserve">ranting Financial Assistance </w:t>
      </w:r>
      <w:r>
        <w:rPr>
          <w:rFonts w:ascii="Calibri" w:eastAsia="Calibri" w:hAnsi="Calibri" w:cs="Calibri"/>
        </w:rPr>
        <w:t>o</w:t>
      </w:r>
      <w:r w:rsidR="00E81118" w:rsidRPr="00E81118">
        <w:rPr>
          <w:rFonts w:ascii="Calibri" w:eastAsia="Calibri" w:hAnsi="Calibri" w:cs="Calibri"/>
        </w:rPr>
        <w:t xml:space="preserve">f P55,000.00 </w:t>
      </w:r>
      <w:r>
        <w:rPr>
          <w:rFonts w:ascii="Calibri" w:eastAsia="Calibri" w:hAnsi="Calibri" w:cs="Calibri"/>
        </w:rPr>
        <w:t>to Prosperidad 4-H Club f</w:t>
      </w:r>
      <w:r w:rsidR="00E81118" w:rsidRPr="00E81118">
        <w:rPr>
          <w:rFonts w:ascii="Calibri" w:eastAsia="Calibri" w:hAnsi="Calibri" w:cs="Calibri"/>
        </w:rPr>
        <w:t xml:space="preserve">or </w:t>
      </w:r>
      <w:r>
        <w:rPr>
          <w:rFonts w:ascii="Calibri" w:eastAsia="Calibri" w:hAnsi="Calibri" w:cs="Calibri"/>
        </w:rPr>
        <w:t>i</w:t>
      </w:r>
      <w:r w:rsidR="00E81118" w:rsidRPr="00E81118">
        <w:rPr>
          <w:rFonts w:ascii="Calibri" w:eastAsia="Calibri" w:hAnsi="Calibri" w:cs="Calibri"/>
        </w:rPr>
        <w:t>ts Cutflower Production Project;</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FF725F" w:rsidP="00411323">
      <w:pPr>
        <w:numPr>
          <w:ilvl w:val="0"/>
          <w:numId w:val="5"/>
        </w:numPr>
        <w:spacing w:after="0" w:line="240" w:lineRule="auto"/>
        <w:ind w:left="360"/>
        <w:jc w:val="both"/>
        <w:rPr>
          <w:rFonts w:ascii="Calibri" w:eastAsia="Calibri" w:hAnsi="Calibri" w:cs="Calibri"/>
        </w:rPr>
      </w:pPr>
      <w:r>
        <w:rPr>
          <w:rFonts w:ascii="Calibri" w:eastAsia="Calibri" w:hAnsi="Calibri" w:cs="Calibri"/>
        </w:rPr>
        <w:t>Resolution No. 11-211 – MOA w</w:t>
      </w:r>
      <w:r w:rsidR="00E81118" w:rsidRPr="00E81118">
        <w:rPr>
          <w:rFonts w:ascii="Calibri" w:eastAsia="Calibri" w:hAnsi="Calibri" w:cs="Calibri"/>
        </w:rPr>
        <w:t xml:space="preserve">ith </w:t>
      </w:r>
      <w:r>
        <w:rPr>
          <w:rFonts w:ascii="Calibri" w:eastAsia="Calibri" w:hAnsi="Calibri" w:cs="Calibri"/>
        </w:rPr>
        <w:t>t</w:t>
      </w:r>
      <w:r w:rsidR="00E81118" w:rsidRPr="00E81118">
        <w:rPr>
          <w:rFonts w:ascii="Calibri" w:eastAsia="Calibri" w:hAnsi="Calibri" w:cs="Calibri"/>
        </w:rPr>
        <w:t xml:space="preserve">he DSWD Field Office VI </w:t>
      </w:r>
      <w:r>
        <w:rPr>
          <w:rFonts w:ascii="Calibri" w:eastAsia="Calibri" w:hAnsi="Calibri" w:cs="Calibri"/>
        </w:rPr>
        <w:t>f</w:t>
      </w:r>
      <w:r w:rsidR="00E81118" w:rsidRPr="00E81118">
        <w:rPr>
          <w:rFonts w:ascii="Calibri" w:eastAsia="Calibri" w:hAnsi="Calibri" w:cs="Calibri"/>
        </w:rPr>
        <w:t xml:space="preserve">or </w:t>
      </w:r>
      <w:r>
        <w:rPr>
          <w:rFonts w:ascii="Calibri" w:eastAsia="Calibri" w:hAnsi="Calibri" w:cs="Calibri"/>
        </w:rPr>
        <w:t>t</w:t>
      </w:r>
      <w:r w:rsidR="00E81118" w:rsidRPr="00E81118">
        <w:rPr>
          <w:rFonts w:ascii="Calibri" w:eastAsia="Calibri" w:hAnsi="Calibri" w:cs="Calibri"/>
        </w:rPr>
        <w:t xml:space="preserve">he Implementation </w:t>
      </w:r>
      <w:r>
        <w:rPr>
          <w:rFonts w:ascii="Calibri" w:eastAsia="Calibri" w:hAnsi="Calibri" w:cs="Calibri"/>
        </w:rPr>
        <w:t>o</w:t>
      </w:r>
      <w:r w:rsidR="00E81118" w:rsidRPr="00E81118">
        <w:rPr>
          <w:rFonts w:ascii="Calibri" w:eastAsia="Calibri" w:hAnsi="Calibri" w:cs="Calibri"/>
        </w:rPr>
        <w:t>f Cash-For-Training/</w:t>
      </w:r>
      <w:r>
        <w:rPr>
          <w:rFonts w:ascii="Calibri" w:eastAsia="Calibri" w:hAnsi="Calibri" w:cs="Calibri"/>
        </w:rPr>
        <w:t xml:space="preserve"> Work (CFT/W) Program f</w:t>
      </w:r>
      <w:r w:rsidR="00E81118" w:rsidRPr="00E81118">
        <w:rPr>
          <w:rFonts w:ascii="Calibri" w:eastAsia="Calibri" w:hAnsi="Calibri" w:cs="Calibri"/>
        </w:rPr>
        <w:t xml:space="preserve">or </w:t>
      </w:r>
      <w:r>
        <w:rPr>
          <w:rFonts w:ascii="Calibri" w:eastAsia="Calibri" w:hAnsi="Calibri" w:cs="Calibri"/>
        </w:rPr>
        <w:t>t</w:t>
      </w:r>
      <w:r w:rsidR="00E81118" w:rsidRPr="00E81118">
        <w:rPr>
          <w:rFonts w:ascii="Calibri" w:eastAsia="Calibri" w:hAnsi="Calibri" w:cs="Calibri"/>
        </w:rPr>
        <w:t xml:space="preserve">he Small-Scale Farmers </w:t>
      </w:r>
      <w:r>
        <w:rPr>
          <w:rFonts w:ascii="Calibri" w:eastAsia="Calibri" w:hAnsi="Calibri" w:cs="Calibri"/>
        </w:rPr>
        <w:t>a</w:t>
      </w:r>
      <w:r w:rsidR="00E81118" w:rsidRPr="00E81118">
        <w:rPr>
          <w:rFonts w:ascii="Calibri" w:eastAsia="Calibri" w:hAnsi="Calibri" w:cs="Calibri"/>
        </w:rPr>
        <w:t xml:space="preserve">nd Fisherfolks </w:t>
      </w:r>
      <w:r>
        <w:rPr>
          <w:rFonts w:ascii="Calibri" w:eastAsia="Calibri" w:hAnsi="Calibri" w:cs="Calibri"/>
        </w:rPr>
        <w:t>i</w:t>
      </w:r>
      <w:r w:rsidR="00E81118" w:rsidRPr="00E81118">
        <w:rPr>
          <w:rFonts w:ascii="Calibri" w:eastAsia="Calibri" w:hAnsi="Calibri" w:cs="Calibri"/>
        </w:rPr>
        <w:t xml:space="preserve">n </w:t>
      </w:r>
      <w:r>
        <w:rPr>
          <w:rFonts w:ascii="Calibri" w:eastAsia="Calibri" w:hAnsi="Calibri" w:cs="Calibri"/>
        </w:rPr>
        <w:t>t</w:t>
      </w:r>
      <w:r w:rsidR="00E81118" w:rsidRPr="00E81118">
        <w:rPr>
          <w:rFonts w:ascii="Calibri" w:eastAsia="Calibri" w:hAnsi="Calibri" w:cs="Calibri"/>
        </w:rPr>
        <w:t xml:space="preserve">he City Of San Carlos </w:t>
      </w:r>
      <w:r w:rsidRPr="00FF725F">
        <w:rPr>
          <w:rFonts w:ascii="Calibri" w:eastAsia="Calibri" w:hAnsi="Calibri" w:cs="Calibri"/>
        </w:rPr>
        <w:t xml:space="preserve">who were affected during the </w:t>
      </w:r>
      <w:r w:rsidR="00E81118" w:rsidRPr="00E81118">
        <w:rPr>
          <w:rFonts w:ascii="Calibri" w:eastAsia="Calibri" w:hAnsi="Calibri" w:cs="Calibri"/>
        </w:rPr>
        <w:t>Lean Season;</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E81118" w:rsidP="00411323">
      <w:pPr>
        <w:numPr>
          <w:ilvl w:val="0"/>
          <w:numId w:val="5"/>
        </w:numPr>
        <w:spacing w:after="0" w:line="240" w:lineRule="auto"/>
        <w:ind w:left="360"/>
        <w:jc w:val="both"/>
        <w:rPr>
          <w:rFonts w:ascii="Calibri" w:eastAsia="Calibri" w:hAnsi="Calibri" w:cs="Calibri"/>
        </w:rPr>
      </w:pPr>
      <w:r w:rsidRPr="00E81118">
        <w:rPr>
          <w:rFonts w:ascii="Calibri" w:eastAsia="Calibri" w:hAnsi="Calibri" w:cs="Calibri"/>
        </w:rPr>
        <w:t xml:space="preserve">Resolution No. 11-407 – MOA </w:t>
      </w:r>
      <w:r w:rsidR="00727A5D">
        <w:rPr>
          <w:rFonts w:ascii="Calibri" w:eastAsia="Calibri" w:hAnsi="Calibri" w:cs="Calibri"/>
        </w:rPr>
        <w:t>w</w:t>
      </w:r>
      <w:r w:rsidRPr="00E81118">
        <w:rPr>
          <w:rFonts w:ascii="Calibri" w:eastAsia="Calibri" w:hAnsi="Calibri" w:cs="Calibri"/>
        </w:rPr>
        <w:t xml:space="preserve">ith </w:t>
      </w:r>
      <w:r w:rsidR="00727A5D">
        <w:rPr>
          <w:rFonts w:ascii="Calibri" w:eastAsia="Calibri" w:hAnsi="Calibri" w:cs="Calibri"/>
        </w:rPr>
        <w:t>the Department of Agriculture, Region VI for t</w:t>
      </w:r>
      <w:r w:rsidRPr="00E81118">
        <w:rPr>
          <w:rFonts w:ascii="Calibri" w:eastAsia="Calibri" w:hAnsi="Calibri" w:cs="Calibri"/>
        </w:rPr>
        <w:t>he Fa</w:t>
      </w:r>
      <w:r w:rsidR="00727A5D">
        <w:rPr>
          <w:rFonts w:ascii="Calibri" w:eastAsia="Calibri" w:hAnsi="Calibri" w:cs="Calibri"/>
        </w:rPr>
        <w:t>rm Tractor Assistance through i</w:t>
      </w:r>
      <w:r w:rsidRPr="00E81118">
        <w:rPr>
          <w:rFonts w:ascii="Calibri" w:eastAsia="Calibri" w:hAnsi="Calibri" w:cs="Calibri"/>
        </w:rPr>
        <w:t>ts Agri-Pinoy Corn Program;</w:t>
      </w:r>
    </w:p>
    <w:p w:rsidR="00E81118" w:rsidRPr="00E81118" w:rsidRDefault="00E81118" w:rsidP="00411323">
      <w:pPr>
        <w:spacing w:after="0" w:line="240" w:lineRule="auto"/>
        <w:ind w:left="360" w:hanging="360"/>
        <w:jc w:val="both"/>
        <w:rPr>
          <w:rFonts w:ascii="Calibri" w:eastAsia="Calibri" w:hAnsi="Calibri" w:cs="Calibri"/>
        </w:rPr>
      </w:pPr>
    </w:p>
    <w:p w:rsidR="00E81118" w:rsidRPr="00E81118" w:rsidRDefault="00727A5D" w:rsidP="00411323">
      <w:pPr>
        <w:numPr>
          <w:ilvl w:val="0"/>
          <w:numId w:val="5"/>
        </w:numPr>
        <w:spacing w:after="0" w:line="240" w:lineRule="auto"/>
        <w:ind w:left="360"/>
        <w:jc w:val="both"/>
        <w:rPr>
          <w:rFonts w:ascii="Calibri" w:eastAsia="Calibri" w:hAnsi="Calibri" w:cs="Calibri"/>
        </w:rPr>
      </w:pPr>
      <w:r>
        <w:rPr>
          <w:rFonts w:ascii="Calibri" w:eastAsia="Calibri" w:hAnsi="Calibri" w:cs="Calibri"/>
        </w:rPr>
        <w:t>Resolution No. 11-356 – MOA w</w:t>
      </w:r>
      <w:r w:rsidR="00E81118" w:rsidRPr="00E81118">
        <w:rPr>
          <w:rFonts w:ascii="Calibri" w:eastAsia="Calibri" w:hAnsi="Calibri" w:cs="Calibri"/>
        </w:rPr>
        <w:t>ith Barangay Rizal Multi-Purpose</w:t>
      </w:r>
      <w:r>
        <w:rPr>
          <w:rFonts w:ascii="Calibri" w:eastAsia="Calibri" w:hAnsi="Calibri" w:cs="Calibri"/>
        </w:rPr>
        <w:t xml:space="preserve"> Cooperative (BARIZMULPCO) for a</w:t>
      </w:r>
      <w:r w:rsidR="00E81118" w:rsidRPr="00E81118">
        <w:rPr>
          <w:rFonts w:ascii="Calibri" w:eastAsia="Calibri" w:hAnsi="Calibri" w:cs="Calibri"/>
        </w:rPr>
        <w:t xml:space="preserve"> Loan Agreement </w:t>
      </w:r>
      <w:r>
        <w:rPr>
          <w:rFonts w:ascii="Calibri" w:eastAsia="Calibri" w:hAnsi="Calibri" w:cs="Calibri"/>
        </w:rPr>
        <w:t>of P250,000.00 Payable i</w:t>
      </w:r>
      <w:r w:rsidR="00E81118" w:rsidRPr="00E81118">
        <w:rPr>
          <w:rFonts w:ascii="Calibri" w:eastAsia="Calibri" w:hAnsi="Calibri" w:cs="Calibri"/>
        </w:rPr>
        <w:t>n Thir</w:t>
      </w:r>
      <w:r>
        <w:rPr>
          <w:rFonts w:ascii="Calibri" w:eastAsia="Calibri" w:hAnsi="Calibri" w:cs="Calibri"/>
        </w:rPr>
        <w:t>ty-Six (36) Equal Installments a</w:t>
      </w:r>
      <w:r w:rsidR="00E81118" w:rsidRPr="00E81118">
        <w:rPr>
          <w:rFonts w:ascii="Calibri" w:eastAsia="Calibri" w:hAnsi="Calibri" w:cs="Calibri"/>
        </w:rPr>
        <w:t>t Six (6%) Percent Per An</w:t>
      </w:r>
      <w:r>
        <w:rPr>
          <w:rFonts w:ascii="Calibri" w:eastAsia="Calibri" w:hAnsi="Calibri" w:cs="Calibri"/>
        </w:rPr>
        <w:t>num on t</w:t>
      </w:r>
      <w:r w:rsidR="00E81118" w:rsidRPr="00E81118">
        <w:rPr>
          <w:rFonts w:ascii="Calibri" w:eastAsia="Calibri" w:hAnsi="Calibri" w:cs="Calibri"/>
        </w:rPr>
        <w:t xml:space="preserve">he Diminishing Balance, Chargeable Against Capital Outlay; CLSO (Various Loans Outlay) CY 2011 </w:t>
      </w:r>
      <w:r>
        <w:rPr>
          <w:rFonts w:ascii="Calibri" w:eastAsia="Calibri" w:hAnsi="Calibri" w:cs="Calibri"/>
        </w:rPr>
        <w:t>and Authorizing the City Mayor to Sign the Memorandum o</w:t>
      </w:r>
      <w:r w:rsidR="00E81118" w:rsidRPr="00E81118">
        <w:rPr>
          <w:rFonts w:ascii="Calibri" w:eastAsia="Calibri" w:hAnsi="Calibri" w:cs="Calibri"/>
        </w:rPr>
        <w:t>f Loan Agreement Relative Thereto.</w:t>
      </w:r>
    </w:p>
    <w:p w:rsidR="00160172" w:rsidRDefault="00160172"/>
    <w:sectPr w:rsidR="00160172" w:rsidSect="00005ED1">
      <w:pgSz w:w="11909" w:h="16834" w:code="9"/>
      <w:pgMar w:top="1440" w:right="1440" w:bottom="1440" w:left="1728"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9E" w:rsidRDefault="00DE339E" w:rsidP="003724A6">
      <w:pPr>
        <w:spacing w:after="0" w:line="240" w:lineRule="auto"/>
      </w:pPr>
      <w:r>
        <w:separator/>
      </w:r>
    </w:p>
  </w:endnote>
  <w:endnote w:type="continuationSeparator" w:id="0">
    <w:p w:rsidR="00DE339E" w:rsidRDefault="00DE339E" w:rsidP="0037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A7" w:rsidRDefault="00210DA7">
    <w:pPr>
      <w:pStyle w:val="Footer"/>
      <w:jc w:val="right"/>
    </w:pPr>
    <w:r>
      <w:t>7-</w:t>
    </w:r>
    <w:sdt>
      <w:sdtPr>
        <w:id w:val="4292421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68B5">
          <w:rPr>
            <w:noProof/>
          </w:rPr>
          <w:t>5</w:t>
        </w:r>
        <w:r>
          <w:rPr>
            <w:noProof/>
          </w:rPr>
          <w:fldChar w:fldCharType="end"/>
        </w:r>
      </w:sdtContent>
    </w:sdt>
  </w:p>
  <w:p w:rsidR="00210DA7" w:rsidRDefault="00210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DA7" w:rsidRDefault="00210DA7">
    <w:pPr>
      <w:pStyle w:val="Footer"/>
      <w:jc w:val="right"/>
    </w:pPr>
    <w:r>
      <w:t>7-</w:t>
    </w:r>
    <w:sdt>
      <w:sdtPr>
        <w:id w:val="1624807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68B5">
          <w:rPr>
            <w:noProof/>
          </w:rPr>
          <w:t>0</w:t>
        </w:r>
        <w:r>
          <w:rPr>
            <w:noProof/>
          </w:rPr>
          <w:fldChar w:fldCharType="end"/>
        </w:r>
      </w:sdtContent>
    </w:sdt>
  </w:p>
  <w:p w:rsidR="00210DA7" w:rsidRDefault="00210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9E" w:rsidRDefault="00DE339E" w:rsidP="003724A6">
      <w:pPr>
        <w:spacing w:after="0" w:line="240" w:lineRule="auto"/>
      </w:pPr>
      <w:r>
        <w:separator/>
      </w:r>
    </w:p>
  </w:footnote>
  <w:footnote w:type="continuationSeparator" w:id="0">
    <w:p w:rsidR="00DE339E" w:rsidRDefault="00DE339E" w:rsidP="00372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B16EC"/>
    <w:multiLevelType w:val="multilevel"/>
    <w:tmpl w:val="56D48A64"/>
    <w:lvl w:ilvl="0">
      <w:start w:val="7"/>
      <w:numFmt w:val="decimal"/>
      <w:lvlText w:val="%1."/>
      <w:lvlJc w:val="left"/>
      <w:pPr>
        <w:ind w:left="720" w:hanging="360"/>
      </w:pPr>
      <w:rPr>
        <w:rFonts w:hint="default"/>
      </w:rPr>
    </w:lvl>
    <w:lvl w:ilvl="1">
      <w:start w:val="1"/>
      <w:numFmt w:val="decimal"/>
      <w:isLgl/>
      <w:lvlText w:val="%1.%2"/>
      <w:lvlJc w:val="left"/>
      <w:pPr>
        <w:ind w:left="1440" w:hanging="720"/>
      </w:pPr>
      <w:rPr>
        <w:rFonts w:cstheme="majorBidi" w:hint="default"/>
      </w:rPr>
    </w:lvl>
    <w:lvl w:ilvl="2">
      <w:start w:val="1"/>
      <w:numFmt w:val="decimal"/>
      <w:isLgl/>
      <w:lvlText w:val="%1.%2.%3"/>
      <w:lvlJc w:val="left"/>
      <w:pPr>
        <w:ind w:left="1800" w:hanging="720"/>
      </w:pPr>
      <w:rPr>
        <w:rFonts w:cstheme="majorBidi" w:hint="default"/>
      </w:rPr>
    </w:lvl>
    <w:lvl w:ilvl="3">
      <w:start w:val="1"/>
      <w:numFmt w:val="decimal"/>
      <w:isLgl/>
      <w:lvlText w:val="%1.%2.%3.%4"/>
      <w:lvlJc w:val="left"/>
      <w:pPr>
        <w:ind w:left="2520" w:hanging="1080"/>
      </w:pPr>
      <w:rPr>
        <w:rFonts w:cstheme="majorBidi" w:hint="default"/>
      </w:rPr>
    </w:lvl>
    <w:lvl w:ilvl="4">
      <w:start w:val="1"/>
      <w:numFmt w:val="decimal"/>
      <w:isLgl/>
      <w:lvlText w:val="%1.%2.%3.%4.%5"/>
      <w:lvlJc w:val="left"/>
      <w:pPr>
        <w:ind w:left="3240" w:hanging="1440"/>
      </w:pPr>
      <w:rPr>
        <w:rFonts w:cstheme="majorBidi" w:hint="default"/>
      </w:rPr>
    </w:lvl>
    <w:lvl w:ilvl="5">
      <w:start w:val="1"/>
      <w:numFmt w:val="decimal"/>
      <w:isLgl/>
      <w:lvlText w:val="%1.%2.%3.%4.%5.%6"/>
      <w:lvlJc w:val="left"/>
      <w:pPr>
        <w:ind w:left="3600" w:hanging="1440"/>
      </w:pPr>
      <w:rPr>
        <w:rFonts w:cstheme="majorBidi" w:hint="default"/>
      </w:rPr>
    </w:lvl>
    <w:lvl w:ilvl="6">
      <w:start w:val="1"/>
      <w:numFmt w:val="decimal"/>
      <w:isLgl/>
      <w:lvlText w:val="%1.%2.%3.%4.%5.%6.%7"/>
      <w:lvlJc w:val="left"/>
      <w:pPr>
        <w:ind w:left="4320" w:hanging="1800"/>
      </w:pPr>
      <w:rPr>
        <w:rFonts w:cstheme="majorBidi" w:hint="default"/>
      </w:rPr>
    </w:lvl>
    <w:lvl w:ilvl="7">
      <w:start w:val="1"/>
      <w:numFmt w:val="decimal"/>
      <w:isLgl/>
      <w:lvlText w:val="%1.%2.%3.%4.%5.%6.%7.%8"/>
      <w:lvlJc w:val="left"/>
      <w:pPr>
        <w:ind w:left="4680" w:hanging="1800"/>
      </w:pPr>
      <w:rPr>
        <w:rFonts w:cstheme="majorBidi" w:hint="default"/>
      </w:rPr>
    </w:lvl>
    <w:lvl w:ilvl="8">
      <w:start w:val="1"/>
      <w:numFmt w:val="decimal"/>
      <w:isLgl/>
      <w:lvlText w:val="%1.%2.%3.%4.%5.%6.%7.%8.%9"/>
      <w:lvlJc w:val="left"/>
      <w:pPr>
        <w:ind w:left="5400" w:hanging="2160"/>
      </w:pPr>
      <w:rPr>
        <w:rFonts w:cstheme="majorBidi" w:hint="default"/>
      </w:rPr>
    </w:lvl>
  </w:abstractNum>
  <w:abstractNum w:abstractNumId="1">
    <w:nsid w:val="25C82CC0"/>
    <w:multiLevelType w:val="hybridMultilevel"/>
    <w:tmpl w:val="E0AEFA4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263A2788"/>
    <w:multiLevelType w:val="hybridMultilevel"/>
    <w:tmpl w:val="0C580554"/>
    <w:lvl w:ilvl="0" w:tplc="EEC48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A836F1"/>
    <w:multiLevelType w:val="multilevel"/>
    <w:tmpl w:val="3409001D"/>
    <w:styleLink w:val="Style1"/>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22504C8"/>
    <w:multiLevelType w:val="hybridMultilevel"/>
    <w:tmpl w:val="FDF404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324A00F7"/>
    <w:multiLevelType w:val="multilevel"/>
    <w:tmpl w:val="797AD19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B8F0D0A"/>
    <w:multiLevelType w:val="multilevel"/>
    <w:tmpl w:val="3409001D"/>
    <w:numStyleLink w:val="Style1"/>
  </w:abstractNum>
  <w:abstractNum w:abstractNumId="7">
    <w:nsid w:val="59834A70"/>
    <w:multiLevelType w:val="hybridMultilevel"/>
    <w:tmpl w:val="6FC8BD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7027496D"/>
    <w:multiLevelType w:val="hybridMultilevel"/>
    <w:tmpl w:val="2C52A7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721A24B5"/>
    <w:multiLevelType w:val="hybridMultilevel"/>
    <w:tmpl w:val="F078E5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7558055F"/>
    <w:multiLevelType w:val="hybridMultilevel"/>
    <w:tmpl w:val="EA46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5822C4"/>
    <w:multiLevelType w:val="hybridMultilevel"/>
    <w:tmpl w:val="C59EC6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lvlOverride w:ilvl="0">
      <w:lvl w:ilvl="0">
        <w:start w:val="1"/>
        <w:numFmt w:val="upperLetter"/>
        <w:lvlText w:val="%1)"/>
        <w:lvlJc w:val="left"/>
        <w:pPr>
          <w:ind w:left="360" w:hanging="360"/>
        </w:pPr>
        <w:rPr>
          <w:color w:val="000000" w:themeColor="text1"/>
        </w:rPr>
      </w:lvl>
    </w:lvlOverride>
    <w:lvlOverride w:ilvl="1">
      <w:lvl w:ilvl="1">
        <w:start w:val="1"/>
        <w:numFmt w:val="decimal"/>
        <w:lvlText w:val="%2)"/>
        <w:lvlJc w:val="left"/>
        <w:pPr>
          <w:ind w:left="720" w:hanging="360"/>
        </w:pPr>
      </w:lvl>
    </w:lvlOverride>
    <w:lvlOverride w:ilvl="2">
      <w:lvl w:ilvl="2">
        <w:start w:val="1"/>
        <w:numFmt w:val="lowerLetter"/>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
    <w:abstractNumId w:val="2"/>
  </w:num>
  <w:num w:numId="5">
    <w:abstractNumId w:val="10"/>
  </w:num>
  <w:num w:numId="6">
    <w:abstractNumId w:val="11"/>
  </w:num>
  <w:num w:numId="7">
    <w:abstractNumId w:val="0"/>
  </w:num>
  <w:num w:numId="8">
    <w:abstractNumId w:val="8"/>
  </w:num>
  <w:num w:numId="9">
    <w:abstractNumId w:val="7"/>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18"/>
    <w:rsid w:val="00005ED1"/>
    <w:rsid w:val="00060B0E"/>
    <w:rsid w:val="00061804"/>
    <w:rsid w:val="000A0190"/>
    <w:rsid w:val="000A5F98"/>
    <w:rsid w:val="0011087C"/>
    <w:rsid w:val="00127E72"/>
    <w:rsid w:val="00160172"/>
    <w:rsid w:val="00185399"/>
    <w:rsid w:val="001C0F18"/>
    <w:rsid w:val="001F225E"/>
    <w:rsid w:val="00210DA7"/>
    <w:rsid w:val="002668B5"/>
    <w:rsid w:val="003007D6"/>
    <w:rsid w:val="00333A2E"/>
    <w:rsid w:val="003724A6"/>
    <w:rsid w:val="003873C1"/>
    <w:rsid w:val="003A30D1"/>
    <w:rsid w:val="003D17E5"/>
    <w:rsid w:val="00411323"/>
    <w:rsid w:val="00414330"/>
    <w:rsid w:val="00422B72"/>
    <w:rsid w:val="00427663"/>
    <w:rsid w:val="004951FC"/>
    <w:rsid w:val="004961EE"/>
    <w:rsid w:val="004A4416"/>
    <w:rsid w:val="004B5A08"/>
    <w:rsid w:val="004F3C0C"/>
    <w:rsid w:val="00530FAD"/>
    <w:rsid w:val="00534225"/>
    <w:rsid w:val="00544EA7"/>
    <w:rsid w:val="0066092E"/>
    <w:rsid w:val="0068578E"/>
    <w:rsid w:val="0069011A"/>
    <w:rsid w:val="006A240D"/>
    <w:rsid w:val="00727A5D"/>
    <w:rsid w:val="00742A92"/>
    <w:rsid w:val="00831E95"/>
    <w:rsid w:val="00841199"/>
    <w:rsid w:val="00890431"/>
    <w:rsid w:val="0089080F"/>
    <w:rsid w:val="009006A9"/>
    <w:rsid w:val="009150C6"/>
    <w:rsid w:val="009924A7"/>
    <w:rsid w:val="009D7886"/>
    <w:rsid w:val="00A53C1D"/>
    <w:rsid w:val="00AC4F52"/>
    <w:rsid w:val="00AE169E"/>
    <w:rsid w:val="00C6624B"/>
    <w:rsid w:val="00C967BE"/>
    <w:rsid w:val="00D20CB2"/>
    <w:rsid w:val="00D62C6A"/>
    <w:rsid w:val="00DE339E"/>
    <w:rsid w:val="00DF29CE"/>
    <w:rsid w:val="00E40D24"/>
    <w:rsid w:val="00E81118"/>
    <w:rsid w:val="00F6669F"/>
    <w:rsid w:val="00FC15F2"/>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72"/>
  </w:style>
  <w:style w:type="paragraph" w:styleId="Heading1">
    <w:name w:val="heading 1"/>
    <w:basedOn w:val="Normal"/>
    <w:next w:val="Normal"/>
    <w:link w:val="Heading1Char"/>
    <w:uiPriority w:val="9"/>
    <w:qFormat/>
    <w:rsid w:val="00127E72"/>
    <w:pPr>
      <w:pBdr>
        <w:bottom w:val="thinThickSmallGap" w:sz="12" w:space="1" w:color="0D0D0D" w:themeColor="text1" w:themeTint="F2"/>
      </w:pBdr>
      <w:spacing w:before="40" w:after="0"/>
      <w:outlineLvl w:val="0"/>
    </w:pPr>
    <w:rPr>
      <w:b/>
      <w:caps/>
      <w:color w:val="7F7F7F" w:themeColor="text1" w:themeTint="80"/>
      <w:spacing w:val="20"/>
      <w:sz w:val="28"/>
      <w:szCs w:val="28"/>
    </w:rPr>
  </w:style>
  <w:style w:type="paragraph" w:styleId="Heading2">
    <w:name w:val="heading 2"/>
    <w:basedOn w:val="Normal"/>
    <w:next w:val="Normal"/>
    <w:link w:val="Heading2Char"/>
    <w:uiPriority w:val="9"/>
    <w:unhideWhenUsed/>
    <w:qFormat/>
    <w:rsid w:val="00127E72"/>
    <w:pPr>
      <w:pBdr>
        <w:bottom w:val="single" w:sz="4" w:space="1" w:color="622423" w:themeColor="accent2" w:themeShade="7F"/>
      </w:pBdr>
      <w:spacing w:before="280" w:after="80"/>
      <w:outlineLvl w:val="1"/>
    </w:pPr>
    <w:rPr>
      <w:b/>
      <w:caps/>
      <w:color w:val="808080" w:themeColor="background1" w:themeShade="80"/>
      <w:spacing w:val="15"/>
      <w:sz w:val="24"/>
      <w:szCs w:val="24"/>
    </w:rPr>
  </w:style>
  <w:style w:type="paragraph" w:styleId="Heading3">
    <w:name w:val="heading 3"/>
    <w:basedOn w:val="Normal"/>
    <w:next w:val="Normal"/>
    <w:link w:val="Heading3Char"/>
    <w:uiPriority w:val="9"/>
    <w:unhideWhenUsed/>
    <w:qFormat/>
    <w:rsid w:val="00127E72"/>
    <w:pPr>
      <w:pBdr>
        <w:top w:val="dotted" w:sz="4" w:space="1" w:color="622423" w:themeColor="accent2" w:themeShade="7F"/>
        <w:bottom w:val="dotted" w:sz="4" w:space="1" w:color="622423" w:themeColor="accent2" w:themeShade="7F"/>
      </w:pBdr>
      <w:spacing w:before="180" w:after="80"/>
      <w:outlineLvl w:val="2"/>
    </w:pPr>
    <w:rPr>
      <w:i/>
      <w:caps/>
      <w:color w:val="808080" w:themeColor="background1" w:themeShade="80"/>
      <w:sz w:val="24"/>
      <w:szCs w:val="24"/>
    </w:rPr>
  </w:style>
  <w:style w:type="paragraph" w:styleId="Heading4">
    <w:name w:val="heading 4"/>
    <w:basedOn w:val="Normal"/>
    <w:next w:val="Normal"/>
    <w:link w:val="Heading4Char"/>
    <w:uiPriority w:val="9"/>
    <w:semiHidden/>
    <w:unhideWhenUsed/>
    <w:qFormat/>
    <w:rsid w:val="00127E7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27E7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27E7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27E7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27E7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27E7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E72"/>
    <w:rPr>
      <w:b/>
      <w:caps/>
      <w:color w:val="7F7F7F" w:themeColor="text1" w:themeTint="80"/>
      <w:spacing w:val="20"/>
      <w:sz w:val="28"/>
      <w:szCs w:val="28"/>
    </w:rPr>
  </w:style>
  <w:style w:type="character" w:customStyle="1" w:styleId="Heading2Char">
    <w:name w:val="Heading 2 Char"/>
    <w:basedOn w:val="DefaultParagraphFont"/>
    <w:link w:val="Heading2"/>
    <w:uiPriority w:val="9"/>
    <w:rsid w:val="00127E72"/>
    <w:rPr>
      <w:b/>
      <w:caps/>
      <w:color w:val="808080" w:themeColor="background1" w:themeShade="80"/>
      <w:spacing w:val="15"/>
      <w:sz w:val="24"/>
      <w:szCs w:val="24"/>
    </w:rPr>
  </w:style>
  <w:style w:type="character" w:customStyle="1" w:styleId="Heading3Char">
    <w:name w:val="Heading 3 Char"/>
    <w:basedOn w:val="DefaultParagraphFont"/>
    <w:link w:val="Heading3"/>
    <w:uiPriority w:val="9"/>
    <w:rsid w:val="00127E72"/>
    <w:rPr>
      <w:i/>
      <w:caps/>
      <w:color w:val="808080" w:themeColor="background1" w:themeShade="80"/>
      <w:sz w:val="24"/>
      <w:szCs w:val="24"/>
    </w:rPr>
  </w:style>
  <w:style w:type="character" w:customStyle="1" w:styleId="Heading4Char">
    <w:name w:val="Heading 4 Char"/>
    <w:basedOn w:val="DefaultParagraphFont"/>
    <w:link w:val="Heading4"/>
    <w:uiPriority w:val="9"/>
    <w:semiHidden/>
    <w:rsid w:val="00127E72"/>
    <w:rPr>
      <w:caps/>
      <w:color w:val="622423" w:themeColor="accent2" w:themeShade="7F"/>
      <w:spacing w:val="10"/>
    </w:rPr>
  </w:style>
  <w:style w:type="character" w:customStyle="1" w:styleId="Heading5Char">
    <w:name w:val="Heading 5 Char"/>
    <w:basedOn w:val="DefaultParagraphFont"/>
    <w:link w:val="Heading5"/>
    <w:uiPriority w:val="9"/>
    <w:semiHidden/>
    <w:rsid w:val="00127E72"/>
    <w:rPr>
      <w:caps/>
      <w:color w:val="622423" w:themeColor="accent2" w:themeShade="7F"/>
      <w:spacing w:val="10"/>
    </w:rPr>
  </w:style>
  <w:style w:type="character" w:customStyle="1" w:styleId="Heading6Char">
    <w:name w:val="Heading 6 Char"/>
    <w:basedOn w:val="DefaultParagraphFont"/>
    <w:link w:val="Heading6"/>
    <w:uiPriority w:val="9"/>
    <w:semiHidden/>
    <w:rsid w:val="00127E72"/>
    <w:rPr>
      <w:caps/>
      <w:color w:val="943634" w:themeColor="accent2" w:themeShade="BF"/>
      <w:spacing w:val="10"/>
    </w:rPr>
  </w:style>
  <w:style w:type="character" w:customStyle="1" w:styleId="Heading7Char">
    <w:name w:val="Heading 7 Char"/>
    <w:basedOn w:val="DefaultParagraphFont"/>
    <w:link w:val="Heading7"/>
    <w:uiPriority w:val="9"/>
    <w:semiHidden/>
    <w:rsid w:val="00127E72"/>
    <w:rPr>
      <w:i/>
      <w:iCs/>
      <w:caps/>
      <w:color w:val="943634" w:themeColor="accent2" w:themeShade="BF"/>
      <w:spacing w:val="10"/>
    </w:rPr>
  </w:style>
  <w:style w:type="character" w:customStyle="1" w:styleId="Heading8Char">
    <w:name w:val="Heading 8 Char"/>
    <w:basedOn w:val="DefaultParagraphFont"/>
    <w:link w:val="Heading8"/>
    <w:uiPriority w:val="9"/>
    <w:semiHidden/>
    <w:rsid w:val="00127E72"/>
    <w:rPr>
      <w:caps/>
      <w:spacing w:val="10"/>
      <w:sz w:val="20"/>
      <w:szCs w:val="20"/>
    </w:rPr>
  </w:style>
  <w:style w:type="character" w:customStyle="1" w:styleId="Heading9Char">
    <w:name w:val="Heading 9 Char"/>
    <w:basedOn w:val="DefaultParagraphFont"/>
    <w:link w:val="Heading9"/>
    <w:uiPriority w:val="9"/>
    <w:semiHidden/>
    <w:rsid w:val="00127E72"/>
    <w:rPr>
      <w:i/>
      <w:iCs/>
      <w:caps/>
      <w:spacing w:val="10"/>
      <w:sz w:val="20"/>
      <w:szCs w:val="20"/>
    </w:rPr>
  </w:style>
  <w:style w:type="paragraph" w:styleId="Caption">
    <w:name w:val="caption"/>
    <w:basedOn w:val="Normal"/>
    <w:next w:val="Normal"/>
    <w:uiPriority w:val="35"/>
    <w:semiHidden/>
    <w:unhideWhenUsed/>
    <w:qFormat/>
    <w:rsid w:val="00127E72"/>
    <w:pPr>
      <w:spacing w:before="120" w:after="120"/>
      <w:jc w:val="center"/>
    </w:pPr>
    <w:rPr>
      <w:b/>
      <w:caps/>
      <w:spacing w:val="10"/>
      <w:sz w:val="18"/>
      <w:szCs w:val="18"/>
    </w:rPr>
  </w:style>
  <w:style w:type="paragraph" w:styleId="Title">
    <w:name w:val="Title"/>
    <w:basedOn w:val="Normal"/>
    <w:next w:val="Normal"/>
    <w:link w:val="TitleChar"/>
    <w:uiPriority w:val="10"/>
    <w:qFormat/>
    <w:rsid w:val="00127E72"/>
    <w:pPr>
      <w:pBdr>
        <w:top w:val="dotted" w:sz="2" w:space="1" w:color="632423" w:themeColor="accent2" w:themeShade="80"/>
        <w:bottom w:val="dotted" w:sz="2" w:space="6" w:color="632423" w:themeColor="accent2" w:themeShade="80"/>
      </w:pBdr>
      <w:spacing w:before="380" w:after="180" w:line="240" w:lineRule="auto"/>
      <w:jc w:val="center"/>
    </w:pPr>
    <w:rPr>
      <w:b/>
      <w:caps/>
      <w:color w:val="7F7F7F" w:themeColor="text1" w:themeTint="80"/>
      <w:spacing w:val="50"/>
      <w:sz w:val="44"/>
      <w:szCs w:val="44"/>
    </w:rPr>
  </w:style>
  <w:style w:type="character" w:customStyle="1" w:styleId="TitleChar">
    <w:name w:val="Title Char"/>
    <w:basedOn w:val="DefaultParagraphFont"/>
    <w:link w:val="Title"/>
    <w:uiPriority w:val="10"/>
    <w:rsid w:val="00127E72"/>
    <w:rPr>
      <w:b/>
      <w:caps/>
      <w:color w:val="7F7F7F" w:themeColor="text1" w:themeTint="80"/>
      <w:spacing w:val="50"/>
      <w:sz w:val="44"/>
      <w:szCs w:val="44"/>
    </w:rPr>
  </w:style>
  <w:style w:type="paragraph" w:styleId="Subtitle">
    <w:name w:val="Subtitle"/>
    <w:basedOn w:val="Normal"/>
    <w:next w:val="Normal"/>
    <w:link w:val="SubtitleChar"/>
    <w:uiPriority w:val="11"/>
    <w:qFormat/>
    <w:rsid w:val="00127E72"/>
    <w:pPr>
      <w:spacing w:after="0" w:line="240" w:lineRule="auto"/>
    </w:pPr>
    <w:rPr>
      <w:rFonts w:ascii="Calibri Light" w:hAnsi="Calibri Light"/>
      <w:i/>
      <w:spacing w:val="20"/>
      <w:sz w:val="20"/>
      <w:szCs w:val="18"/>
    </w:rPr>
  </w:style>
  <w:style w:type="character" w:customStyle="1" w:styleId="SubtitleChar">
    <w:name w:val="Subtitle Char"/>
    <w:basedOn w:val="DefaultParagraphFont"/>
    <w:link w:val="Subtitle"/>
    <w:uiPriority w:val="11"/>
    <w:rsid w:val="00127E72"/>
    <w:rPr>
      <w:rFonts w:ascii="Calibri Light" w:hAnsi="Calibri Light"/>
      <w:i/>
      <w:spacing w:val="20"/>
      <w:sz w:val="20"/>
      <w:szCs w:val="18"/>
    </w:rPr>
  </w:style>
  <w:style w:type="character" w:styleId="Strong">
    <w:name w:val="Strong"/>
    <w:uiPriority w:val="22"/>
    <w:qFormat/>
    <w:rsid w:val="00127E72"/>
    <w:rPr>
      <w:b/>
      <w:bCs/>
      <w:color w:val="943634" w:themeColor="accent2" w:themeShade="BF"/>
      <w:spacing w:val="5"/>
    </w:rPr>
  </w:style>
  <w:style w:type="character" w:styleId="Emphasis">
    <w:name w:val="Emphasis"/>
    <w:uiPriority w:val="20"/>
    <w:qFormat/>
    <w:rsid w:val="00127E72"/>
    <w:rPr>
      <w:caps/>
      <w:spacing w:val="5"/>
      <w:sz w:val="20"/>
      <w:szCs w:val="20"/>
    </w:rPr>
  </w:style>
  <w:style w:type="paragraph" w:styleId="NoSpacing">
    <w:name w:val="No Spacing"/>
    <w:basedOn w:val="Normal"/>
    <w:link w:val="NoSpacingChar"/>
    <w:uiPriority w:val="1"/>
    <w:qFormat/>
    <w:rsid w:val="00127E72"/>
    <w:pPr>
      <w:spacing w:after="0" w:line="240" w:lineRule="auto"/>
      <w:jc w:val="both"/>
    </w:pPr>
    <w:rPr>
      <w:rFonts w:asciiTheme="minorHAnsi" w:hAnsiTheme="minorHAnsi"/>
    </w:rPr>
  </w:style>
  <w:style w:type="character" w:customStyle="1" w:styleId="NoSpacingChar">
    <w:name w:val="No Spacing Char"/>
    <w:basedOn w:val="DefaultParagraphFont"/>
    <w:link w:val="NoSpacing"/>
    <w:uiPriority w:val="1"/>
    <w:rsid w:val="00127E72"/>
    <w:rPr>
      <w:rFonts w:asciiTheme="minorHAnsi" w:hAnsiTheme="minorHAnsi"/>
    </w:rPr>
  </w:style>
  <w:style w:type="paragraph" w:styleId="ListParagraph">
    <w:name w:val="List Paragraph"/>
    <w:basedOn w:val="Normal"/>
    <w:uiPriority w:val="34"/>
    <w:qFormat/>
    <w:rsid w:val="00127E72"/>
    <w:pPr>
      <w:ind w:left="720"/>
      <w:contextualSpacing/>
    </w:pPr>
  </w:style>
  <w:style w:type="paragraph" w:styleId="Quote">
    <w:name w:val="Quote"/>
    <w:basedOn w:val="Normal"/>
    <w:next w:val="Normal"/>
    <w:link w:val="QuoteChar"/>
    <w:uiPriority w:val="29"/>
    <w:qFormat/>
    <w:rsid w:val="00127E72"/>
    <w:rPr>
      <w:i/>
      <w:iCs/>
    </w:rPr>
  </w:style>
  <w:style w:type="character" w:customStyle="1" w:styleId="QuoteChar">
    <w:name w:val="Quote Char"/>
    <w:basedOn w:val="DefaultParagraphFont"/>
    <w:link w:val="Quote"/>
    <w:uiPriority w:val="29"/>
    <w:rsid w:val="00127E72"/>
    <w:rPr>
      <w:i/>
      <w:iCs/>
    </w:rPr>
  </w:style>
  <w:style w:type="paragraph" w:styleId="IntenseQuote">
    <w:name w:val="Intense Quote"/>
    <w:basedOn w:val="Normal"/>
    <w:next w:val="Normal"/>
    <w:link w:val="IntenseQuoteChar"/>
    <w:uiPriority w:val="30"/>
    <w:qFormat/>
    <w:rsid w:val="00127E7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27E72"/>
    <w:rPr>
      <w:caps/>
      <w:color w:val="622423" w:themeColor="accent2" w:themeShade="7F"/>
      <w:spacing w:val="5"/>
      <w:sz w:val="20"/>
      <w:szCs w:val="20"/>
    </w:rPr>
  </w:style>
  <w:style w:type="character" w:styleId="SubtleEmphasis">
    <w:name w:val="Subtle Emphasis"/>
    <w:uiPriority w:val="19"/>
    <w:qFormat/>
    <w:rsid w:val="00127E72"/>
    <w:rPr>
      <w:i/>
      <w:iCs/>
    </w:rPr>
  </w:style>
  <w:style w:type="character" w:styleId="IntenseEmphasis">
    <w:name w:val="Intense Emphasis"/>
    <w:uiPriority w:val="21"/>
    <w:qFormat/>
    <w:rsid w:val="00127E72"/>
    <w:rPr>
      <w:i/>
      <w:iCs/>
      <w:caps/>
      <w:spacing w:val="10"/>
      <w:sz w:val="20"/>
      <w:szCs w:val="20"/>
    </w:rPr>
  </w:style>
  <w:style w:type="character" w:styleId="SubtleReference">
    <w:name w:val="Subtle Reference"/>
    <w:basedOn w:val="DefaultParagraphFont"/>
    <w:uiPriority w:val="31"/>
    <w:qFormat/>
    <w:rsid w:val="00127E7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27E7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27E7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27E72"/>
    <w:pPr>
      <w:outlineLvl w:val="9"/>
    </w:pPr>
    <w:rPr>
      <w:lang w:bidi="en-US"/>
    </w:rPr>
  </w:style>
  <w:style w:type="numbering" w:customStyle="1" w:styleId="Style1">
    <w:name w:val="Style1"/>
    <w:uiPriority w:val="99"/>
    <w:rsid w:val="00E81118"/>
    <w:pPr>
      <w:numPr>
        <w:numId w:val="2"/>
      </w:numPr>
    </w:pPr>
  </w:style>
  <w:style w:type="paragraph" w:styleId="BalloonText">
    <w:name w:val="Balloon Text"/>
    <w:basedOn w:val="Normal"/>
    <w:link w:val="BalloonTextChar"/>
    <w:uiPriority w:val="99"/>
    <w:semiHidden/>
    <w:unhideWhenUsed/>
    <w:rsid w:val="0066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2E"/>
    <w:rPr>
      <w:rFonts w:ascii="Tahoma" w:hAnsi="Tahoma" w:cs="Tahoma"/>
      <w:sz w:val="16"/>
      <w:szCs w:val="16"/>
    </w:rPr>
  </w:style>
  <w:style w:type="paragraph" w:styleId="NormalWeb">
    <w:name w:val="Normal (Web)"/>
    <w:basedOn w:val="Normal"/>
    <w:uiPriority w:val="99"/>
    <w:unhideWhenUsed/>
    <w:rsid w:val="00061804"/>
    <w:pPr>
      <w:spacing w:after="225" w:line="240" w:lineRule="auto"/>
    </w:pPr>
    <w:rPr>
      <w:rFonts w:ascii="Times New Roman" w:eastAsia="Times New Roman" w:hAnsi="Times New Roman" w:cs="Times New Roman"/>
      <w:sz w:val="24"/>
      <w:szCs w:val="24"/>
      <w:lang w:val="en-PH" w:eastAsia="en-PH"/>
    </w:rPr>
  </w:style>
  <w:style w:type="paragraph" w:styleId="Header">
    <w:name w:val="header"/>
    <w:basedOn w:val="Normal"/>
    <w:link w:val="HeaderChar"/>
    <w:uiPriority w:val="99"/>
    <w:unhideWhenUsed/>
    <w:rsid w:val="00372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A6"/>
  </w:style>
  <w:style w:type="paragraph" w:styleId="Footer">
    <w:name w:val="footer"/>
    <w:basedOn w:val="Normal"/>
    <w:link w:val="FooterChar"/>
    <w:uiPriority w:val="99"/>
    <w:unhideWhenUsed/>
    <w:rsid w:val="0037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72"/>
  </w:style>
  <w:style w:type="paragraph" w:styleId="Heading1">
    <w:name w:val="heading 1"/>
    <w:basedOn w:val="Normal"/>
    <w:next w:val="Normal"/>
    <w:link w:val="Heading1Char"/>
    <w:uiPriority w:val="9"/>
    <w:qFormat/>
    <w:rsid w:val="00127E72"/>
    <w:pPr>
      <w:pBdr>
        <w:bottom w:val="thinThickSmallGap" w:sz="12" w:space="1" w:color="0D0D0D" w:themeColor="text1" w:themeTint="F2"/>
      </w:pBdr>
      <w:spacing w:before="40" w:after="0"/>
      <w:outlineLvl w:val="0"/>
    </w:pPr>
    <w:rPr>
      <w:b/>
      <w:caps/>
      <w:color w:val="7F7F7F" w:themeColor="text1" w:themeTint="80"/>
      <w:spacing w:val="20"/>
      <w:sz w:val="28"/>
      <w:szCs w:val="28"/>
    </w:rPr>
  </w:style>
  <w:style w:type="paragraph" w:styleId="Heading2">
    <w:name w:val="heading 2"/>
    <w:basedOn w:val="Normal"/>
    <w:next w:val="Normal"/>
    <w:link w:val="Heading2Char"/>
    <w:uiPriority w:val="9"/>
    <w:unhideWhenUsed/>
    <w:qFormat/>
    <w:rsid w:val="00127E72"/>
    <w:pPr>
      <w:pBdr>
        <w:bottom w:val="single" w:sz="4" w:space="1" w:color="622423" w:themeColor="accent2" w:themeShade="7F"/>
      </w:pBdr>
      <w:spacing w:before="280" w:after="80"/>
      <w:outlineLvl w:val="1"/>
    </w:pPr>
    <w:rPr>
      <w:b/>
      <w:caps/>
      <w:color w:val="808080" w:themeColor="background1" w:themeShade="80"/>
      <w:spacing w:val="15"/>
      <w:sz w:val="24"/>
      <w:szCs w:val="24"/>
    </w:rPr>
  </w:style>
  <w:style w:type="paragraph" w:styleId="Heading3">
    <w:name w:val="heading 3"/>
    <w:basedOn w:val="Normal"/>
    <w:next w:val="Normal"/>
    <w:link w:val="Heading3Char"/>
    <w:uiPriority w:val="9"/>
    <w:unhideWhenUsed/>
    <w:qFormat/>
    <w:rsid w:val="00127E72"/>
    <w:pPr>
      <w:pBdr>
        <w:top w:val="dotted" w:sz="4" w:space="1" w:color="622423" w:themeColor="accent2" w:themeShade="7F"/>
        <w:bottom w:val="dotted" w:sz="4" w:space="1" w:color="622423" w:themeColor="accent2" w:themeShade="7F"/>
      </w:pBdr>
      <w:spacing w:before="180" w:after="80"/>
      <w:outlineLvl w:val="2"/>
    </w:pPr>
    <w:rPr>
      <w:i/>
      <w:caps/>
      <w:color w:val="808080" w:themeColor="background1" w:themeShade="80"/>
      <w:sz w:val="24"/>
      <w:szCs w:val="24"/>
    </w:rPr>
  </w:style>
  <w:style w:type="paragraph" w:styleId="Heading4">
    <w:name w:val="heading 4"/>
    <w:basedOn w:val="Normal"/>
    <w:next w:val="Normal"/>
    <w:link w:val="Heading4Char"/>
    <w:uiPriority w:val="9"/>
    <w:semiHidden/>
    <w:unhideWhenUsed/>
    <w:qFormat/>
    <w:rsid w:val="00127E7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127E7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127E7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127E7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127E7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27E7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E72"/>
    <w:rPr>
      <w:b/>
      <w:caps/>
      <w:color w:val="7F7F7F" w:themeColor="text1" w:themeTint="80"/>
      <w:spacing w:val="20"/>
      <w:sz w:val="28"/>
      <w:szCs w:val="28"/>
    </w:rPr>
  </w:style>
  <w:style w:type="character" w:customStyle="1" w:styleId="Heading2Char">
    <w:name w:val="Heading 2 Char"/>
    <w:basedOn w:val="DefaultParagraphFont"/>
    <w:link w:val="Heading2"/>
    <w:uiPriority w:val="9"/>
    <w:rsid w:val="00127E72"/>
    <w:rPr>
      <w:b/>
      <w:caps/>
      <w:color w:val="808080" w:themeColor="background1" w:themeShade="80"/>
      <w:spacing w:val="15"/>
      <w:sz w:val="24"/>
      <w:szCs w:val="24"/>
    </w:rPr>
  </w:style>
  <w:style w:type="character" w:customStyle="1" w:styleId="Heading3Char">
    <w:name w:val="Heading 3 Char"/>
    <w:basedOn w:val="DefaultParagraphFont"/>
    <w:link w:val="Heading3"/>
    <w:uiPriority w:val="9"/>
    <w:rsid w:val="00127E72"/>
    <w:rPr>
      <w:i/>
      <w:caps/>
      <w:color w:val="808080" w:themeColor="background1" w:themeShade="80"/>
      <w:sz w:val="24"/>
      <w:szCs w:val="24"/>
    </w:rPr>
  </w:style>
  <w:style w:type="character" w:customStyle="1" w:styleId="Heading4Char">
    <w:name w:val="Heading 4 Char"/>
    <w:basedOn w:val="DefaultParagraphFont"/>
    <w:link w:val="Heading4"/>
    <w:uiPriority w:val="9"/>
    <w:semiHidden/>
    <w:rsid w:val="00127E72"/>
    <w:rPr>
      <w:caps/>
      <w:color w:val="622423" w:themeColor="accent2" w:themeShade="7F"/>
      <w:spacing w:val="10"/>
    </w:rPr>
  </w:style>
  <w:style w:type="character" w:customStyle="1" w:styleId="Heading5Char">
    <w:name w:val="Heading 5 Char"/>
    <w:basedOn w:val="DefaultParagraphFont"/>
    <w:link w:val="Heading5"/>
    <w:uiPriority w:val="9"/>
    <w:semiHidden/>
    <w:rsid w:val="00127E72"/>
    <w:rPr>
      <w:caps/>
      <w:color w:val="622423" w:themeColor="accent2" w:themeShade="7F"/>
      <w:spacing w:val="10"/>
    </w:rPr>
  </w:style>
  <w:style w:type="character" w:customStyle="1" w:styleId="Heading6Char">
    <w:name w:val="Heading 6 Char"/>
    <w:basedOn w:val="DefaultParagraphFont"/>
    <w:link w:val="Heading6"/>
    <w:uiPriority w:val="9"/>
    <w:semiHidden/>
    <w:rsid w:val="00127E72"/>
    <w:rPr>
      <w:caps/>
      <w:color w:val="943634" w:themeColor="accent2" w:themeShade="BF"/>
      <w:spacing w:val="10"/>
    </w:rPr>
  </w:style>
  <w:style w:type="character" w:customStyle="1" w:styleId="Heading7Char">
    <w:name w:val="Heading 7 Char"/>
    <w:basedOn w:val="DefaultParagraphFont"/>
    <w:link w:val="Heading7"/>
    <w:uiPriority w:val="9"/>
    <w:semiHidden/>
    <w:rsid w:val="00127E72"/>
    <w:rPr>
      <w:i/>
      <w:iCs/>
      <w:caps/>
      <w:color w:val="943634" w:themeColor="accent2" w:themeShade="BF"/>
      <w:spacing w:val="10"/>
    </w:rPr>
  </w:style>
  <w:style w:type="character" w:customStyle="1" w:styleId="Heading8Char">
    <w:name w:val="Heading 8 Char"/>
    <w:basedOn w:val="DefaultParagraphFont"/>
    <w:link w:val="Heading8"/>
    <w:uiPriority w:val="9"/>
    <w:semiHidden/>
    <w:rsid w:val="00127E72"/>
    <w:rPr>
      <w:caps/>
      <w:spacing w:val="10"/>
      <w:sz w:val="20"/>
      <w:szCs w:val="20"/>
    </w:rPr>
  </w:style>
  <w:style w:type="character" w:customStyle="1" w:styleId="Heading9Char">
    <w:name w:val="Heading 9 Char"/>
    <w:basedOn w:val="DefaultParagraphFont"/>
    <w:link w:val="Heading9"/>
    <w:uiPriority w:val="9"/>
    <w:semiHidden/>
    <w:rsid w:val="00127E72"/>
    <w:rPr>
      <w:i/>
      <w:iCs/>
      <w:caps/>
      <w:spacing w:val="10"/>
      <w:sz w:val="20"/>
      <w:szCs w:val="20"/>
    </w:rPr>
  </w:style>
  <w:style w:type="paragraph" w:styleId="Caption">
    <w:name w:val="caption"/>
    <w:basedOn w:val="Normal"/>
    <w:next w:val="Normal"/>
    <w:uiPriority w:val="35"/>
    <w:semiHidden/>
    <w:unhideWhenUsed/>
    <w:qFormat/>
    <w:rsid w:val="00127E72"/>
    <w:pPr>
      <w:spacing w:before="120" w:after="120"/>
      <w:jc w:val="center"/>
    </w:pPr>
    <w:rPr>
      <w:b/>
      <w:caps/>
      <w:spacing w:val="10"/>
      <w:sz w:val="18"/>
      <w:szCs w:val="18"/>
    </w:rPr>
  </w:style>
  <w:style w:type="paragraph" w:styleId="Title">
    <w:name w:val="Title"/>
    <w:basedOn w:val="Normal"/>
    <w:next w:val="Normal"/>
    <w:link w:val="TitleChar"/>
    <w:uiPriority w:val="10"/>
    <w:qFormat/>
    <w:rsid w:val="00127E72"/>
    <w:pPr>
      <w:pBdr>
        <w:top w:val="dotted" w:sz="2" w:space="1" w:color="632423" w:themeColor="accent2" w:themeShade="80"/>
        <w:bottom w:val="dotted" w:sz="2" w:space="6" w:color="632423" w:themeColor="accent2" w:themeShade="80"/>
      </w:pBdr>
      <w:spacing w:before="380" w:after="180" w:line="240" w:lineRule="auto"/>
      <w:jc w:val="center"/>
    </w:pPr>
    <w:rPr>
      <w:b/>
      <w:caps/>
      <w:color w:val="7F7F7F" w:themeColor="text1" w:themeTint="80"/>
      <w:spacing w:val="50"/>
      <w:sz w:val="44"/>
      <w:szCs w:val="44"/>
    </w:rPr>
  </w:style>
  <w:style w:type="character" w:customStyle="1" w:styleId="TitleChar">
    <w:name w:val="Title Char"/>
    <w:basedOn w:val="DefaultParagraphFont"/>
    <w:link w:val="Title"/>
    <w:uiPriority w:val="10"/>
    <w:rsid w:val="00127E72"/>
    <w:rPr>
      <w:b/>
      <w:caps/>
      <w:color w:val="7F7F7F" w:themeColor="text1" w:themeTint="80"/>
      <w:spacing w:val="50"/>
      <w:sz w:val="44"/>
      <w:szCs w:val="44"/>
    </w:rPr>
  </w:style>
  <w:style w:type="paragraph" w:styleId="Subtitle">
    <w:name w:val="Subtitle"/>
    <w:basedOn w:val="Normal"/>
    <w:next w:val="Normal"/>
    <w:link w:val="SubtitleChar"/>
    <w:uiPriority w:val="11"/>
    <w:qFormat/>
    <w:rsid w:val="00127E72"/>
    <w:pPr>
      <w:spacing w:after="0" w:line="240" w:lineRule="auto"/>
    </w:pPr>
    <w:rPr>
      <w:rFonts w:ascii="Calibri Light" w:hAnsi="Calibri Light"/>
      <w:i/>
      <w:spacing w:val="20"/>
      <w:sz w:val="20"/>
      <w:szCs w:val="18"/>
    </w:rPr>
  </w:style>
  <w:style w:type="character" w:customStyle="1" w:styleId="SubtitleChar">
    <w:name w:val="Subtitle Char"/>
    <w:basedOn w:val="DefaultParagraphFont"/>
    <w:link w:val="Subtitle"/>
    <w:uiPriority w:val="11"/>
    <w:rsid w:val="00127E72"/>
    <w:rPr>
      <w:rFonts w:ascii="Calibri Light" w:hAnsi="Calibri Light"/>
      <w:i/>
      <w:spacing w:val="20"/>
      <w:sz w:val="20"/>
      <w:szCs w:val="18"/>
    </w:rPr>
  </w:style>
  <w:style w:type="character" w:styleId="Strong">
    <w:name w:val="Strong"/>
    <w:uiPriority w:val="22"/>
    <w:qFormat/>
    <w:rsid w:val="00127E72"/>
    <w:rPr>
      <w:b/>
      <w:bCs/>
      <w:color w:val="943634" w:themeColor="accent2" w:themeShade="BF"/>
      <w:spacing w:val="5"/>
    </w:rPr>
  </w:style>
  <w:style w:type="character" w:styleId="Emphasis">
    <w:name w:val="Emphasis"/>
    <w:uiPriority w:val="20"/>
    <w:qFormat/>
    <w:rsid w:val="00127E72"/>
    <w:rPr>
      <w:caps/>
      <w:spacing w:val="5"/>
      <w:sz w:val="20"/>
      <w:szCs w:val="20"/>
    </w:rPr>
  </w:style>
  <w:style w:type="paragraph" w:styleId="NoSpacing">
    <w:name w:val="No Spacing"/>
    <w:basedOn w:val="Normal"/>
    <w:link w:val="NoSpacingChar"/>
    <w:uiPriority w:val="1"/>
    <w:qFormat/>
    <w:rsid w:val="00127E72"/>
    <w:pPr>
      <w:spacing w:after="0" w:line="240" w:lineRule="auto"/>
      <w:jc w:val="both"/>
    </w:pPr>
    <w:rPr>
      <w:rFonts w:asciiTheme="minorHAnsi" w:hAnsiTheme="minorHAnsi"/>
    </w:rPr>
  </w:style>
  <w:style w:type="character" w:customStyle="1" w:styleId="NoSpacingChar">
    <w:name w:val="No Spacing Char"/>
    <w:basedOn w:val="DefaultParagraphFont"/>
    <w:link w:val="NoSpacing"/>
    <w:uiPriority w:val="1"/>
    <w:rsid w:val="00127E72"/>
    <w:rPr>
      <w:rFonts w:asciiTheme="minorHAnsi" w:hAnsiTheme="minorHAnsi"/>
    </w:rPr>
  </w:style>
  <w:style w:type="paragraph" w:styleId="ListParagraph">
    <w:name w:val="List Paragraph"/>
    <w:basedOn w:val="Normal"/>
    <w:uiPriority w:val="34"/>
    <w:qFormat/>
    <w:rsid w:val="00127E72"/>
    <w:pPr>
      <w:ind w:left="720"/>
      <w:contextualSpacing/>
    </w:pPr>
  </w:style>
  <w:style w:type="paragraph" w:styleId="Quote">
    <w:name w:val="Quote"/>
    <w:basedOn w:val="Normal"/>
    <w:next w:val="Normal"/>
    <w:link w:val="QuoteChar"/>
    <w:uiPriority w:val="29"/>
    <w:qFormat/>
    <w:rsid w:val="00127E72"/>
    <w:rPr>
      <w:i/>
      <w:iCs/>
    </w:rPr>
  </w:style>
  <w:style w:type="character" w:customStyle="1" w:styleId="QuoteChar">
    <w:name w:val="Quote Char"/>
    <w:basedOn w:val="DefaultParagraphFont"/>
    <w:link w:val="Quote"/>
    <w:uiPriority w:val="29"/>
    <w:rsid w:val="00127E72"/>
    <w:rPr>
      <w:i/>
      <w:iCs/>
    </w:rPr>
  </w:style>
  <w:style w:type="paragraph" w:styleId="IntenseQuote">
    <w:name w:val="Intense Quote"/>
    <w:basedOn w:val="Normal"/>
    <w:next w:val="Normal"/>
    <w:link w:val="IntenseQuoteChar"/>
    <w:uiPriority w:val="30"/>
    <w:qFormat/>
    <w:rsid w:val="00127E7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127E72"/>
    <w:rPr>
      <w:caps/>
      <w:color w:val="622423" w:themeColor="accent2" w:themeShade="7F"/>
      <w:spacing w:val="5"/>
      <w:sz w:val="20"/>
      <w:szCs w:val="20"/>
    </w:rPr>
  </w:style>
  <w:style w:type="character" w:styleId="SubtleEmphasis">
    <w:name w:val="Subtle Emphasis"/>
    <w:uiPriority w:val="19"/>
    <w:qFormat/>
    <w:rsid w:val="00127E72"/>
    <w:rPr>
      <w:i/>
      <w:iCs/>
    </w:rPr>
  </w:style>
  <w:style w:type="character" w:styleId="IntenseEmphasis">
    <w:name w:val="Intense Emphasis"/>
    <w:uiPriority w:val="21"/>
    <w:qFormat/>
    <w:rsid w:val="00127E72"/>
    <w:rPr>
      <w:i/>
      <w:iCs/>
      <w:caps/>
      <w:spacing w:val="10"/>
      <w:sz w:val="20"/>
      <w:szCs w:val="20"/>
    </w:rPr>
  </w:style>
  <w:style w:type="character" w:styleId="SubtleReference">
    <w:name w:val="Subtle Reference"/>
    <w:basedOn w:val="DefaultParagraphFont"/>
    <w:uiPriority w:val="31"/>
    <w:qFormat/>
    <w:rsid w:val="00127E7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127E7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127E7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127E72"/>
    <w:pPr>
      <w:outlineLvl w:val="9"/>
    </w:pPr>
    <w:rPr>
      <w:lang w:bidi="en-US"/>
    </w:rPr>
  </w:style>
  <w:style w:type="numbering" w:customStyle="1" w:styleId="Style1">
    <w:name w:val="Style1"/>
    <w:uiPriority w:val="99"/>
    <w:rsid w:val="00E81118"/>
    <w:pPr>
      <w:numPr>
        <w:numId w:val="2"/>
      </w:numPr>
    </w:pPr>
  </w:style>
  <w:style w:type="paragraph" w:styleId="BalloonText">
    <w:name w:val="Balloon Text"/>
    <w:basedOn w:val="Normal"/>
    <w:link w:val="BalloonTextChar"/>
    <w:uiPriority w:val="99"/>
    <w:semiHidden/>
    <w:unhideWhenUsed/>
    <w:rsid w:val="00660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92E"/>
    <w:rPr>
      <w:rFonts w:ascii="Tahoma" w:hAnsi="Tahoma" w:cs="Tahoma"/>
      <w:sz w:val="16"/>
      <w:szCs w:val="16"/>
    </w:rPr>
  </w:style>
  <w:style w:type="paragraph" w:styleId="NormalWeb">
    <w:name w:val="Normal (Web)"/>
    <w:basedOn w:val="Normal"/>
    <w:uiPriority w:val="99"/>
    <w:unhideWhenUsed/>
    <w:rsid w:val="00061804"/>
    <w:pPr>
      <w:spacing w:after="225" w:line="240" w:lineRule="auto"/>
    </w:pPr>
    <w:rPr>
      <w:rFonts w:ascii="Times New Roman" w:eastAsia="Times New Roman" w:hAnsi="Times New Roman" w:cs="Times New Roman"/>
      <w:sz w:val="24"/>
      <w:szCs w:val="24"/>
      <w:lang w:val="en-PH" w:eastAsia="en-PH"/>
    </w:rPr>
  </w:style>
  <w:style w:type="paragraph" w:styleId="Header">
    <w:name w:val="header"/>
    <w:basedOn w:val="Normal"/>
    <w:link w:val="HeaderChar"/>
    <w:uiPriority w:val="99"/>
    <w:unhideWhenUsed/>
    <w:rsid w:val="00372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4A6"/>
  </w:style>
  <w:style w:type="paragraph" w:styleId="Footer">
    <w:name w:val="footer"/>
    <w:basedOn w:val="Normal"/>
    <w:link w:val="FooterChar"/>
    <w:uiPriority w:val="99"/>
    <w:unhideWhenUsed/>
    <w:rsid w:val="0037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04027">
      <w:bodyDiv w:val="1"/>
      <w:marLeft w:val="0"/>
      <w:marRight w:val="0"/>
      <w:marTop w:val="0"/>
      <w:marBottom w:val="15"/>
      <w:divBdr>
        <w:top w:val="none" w:sz="0" w:space="0" w:color="auto"/>
        <w:left w:val="none" w:sz="0" w:space="0" w:color="auto"/>
        <w:bottom w:val="none" w:sz="0" w:space="0" w:color="auto"/>
        <w:right w:val="none" w:sz="0" w:space="0" w:color="auto"/>
      </w:divBdr>
      <w:divsChild>
        <w:div w:id="1772123119">
          <w:marLeft w:val="0"/>
          <w:marRight w:val="0"/>
          <w:marTop w:val="0"/>
          <w:marBottom w:val="0"/>
          <w:divBdr>
            <w:top w:val="none" w:sz="0" w:space="0" w:color="auto"/>
            <w:left w:val="none" w:sz="0" w:space="0" w:color="auto"/>
            <w:bottom w:val="none" w:sz="0" w:space="0" w:color="auto"/>
            <w:right w:val="none" w:sz="0" w:space="0" w:color="auto"/>
          </w:divBdr>
          <w:divsChild>
            <w:div w:id="526140593">
              <w:marLeft w:val="0"/>
              <w:marRight w:val="0"/>
              <w:marTop w:val="0"/>
              <w:marBottom w:val="0"/>
              <w:divBdr>
                <w:top w:val="none" w:sz="0" w:space="0" w:color="auto"/>
                <w:left w:val="none" w:sz="0" w:space="0" w:color="auto"/>
                <w:bottom w:val="none" w:sz="0" w:space="0" w:color="auto"/>
                <w:right w:val="none" w:sz="0" w:space="0" w:color="auto"/>
              </w:divBdr>
              <w:divsChild>
                <w:div w:id="794637540">
                  <w:marLeft w:val="0"/>
                  <w:marRight w:val="0"/>
                  <w:marTop w:val="0"/>
                  <w:marBottom w:val="0"/>
                  <w:divBdr>
                    <w:top w:val="none" w:sz="0" w:space="0" w:color="auto"/>
                    <w:left w:val="none" w:sz="0" w:space="0" w:color="auto"/>
                    <w:bottom w:val="none" w:sz="0" w:space="0" w:color="auto"/>
                    <w:right w:val="none" w:sz="0" w:space="0" w:color="auto"/>
                  </w:divBdr>
                  <w:divsChild>
                    <w:div w:id="1108770092">
                      <w:marLeft w:val="-240"/>
                      <w:marRight w:val="-240"/>
                      <w:marTop w:val="0"/>
                      <w:marBottom w:val="0"/>
                      <w:divBdr>
                        <w:top w:val="none" w:sz="0" w:space="0" w:color="auto"/>
                        <w:left w:val="none" w:sz="0" w:space="0" w:color="auto"/>
                        <w:bottom w:val="none" w:sz="0" w:space="0" w:color="auto"/>
                        <w:right w:val="none" w:sz="0" w:space="0" w:color="auto"/>
                      </w:divBdr>
                      <w:divsChild>
                        <w:div w:id="240533160">
                          <w:marLeft w:val="135"/>
                          <w:marRight w:val="135"/>
                          <w:marTop w:val="0"/>
                          <w:marBottom w:val="0"/>
                          <w:divBdr>
                            <w:top w:val="none" w:sz="0" w:space="0" w:color="auto"/>
                            <w:left w:val="none" w:sz="0" w:space="0" w:color="auto"/>
                            <w:bottom w:val="none" w:sz="0" w:space="0" w:color="auto"/>
                            <w:right w:val="none" w:sz="0" w:space="0" w:color="auto"/>
                          </w:divBdr>
                          <w:divsChild>
                            <w:div w:id="37439617">
                              <w:marLeft w:val="-135"/>
                              <w:marRight w:val="0"/>
                              <w:marTop w:val="0"/>
                              <w:marBottom w:val="0"/>
                              <w:divBdr>
                                <w:top w:val="none" w:sz="0" w:space="0" w:color="auto"/>
                                <w:left w:val="none" w:sz="0" w:space="0" w:color="auto"/>
                                <w:bottom w:val="none" w:sz="0" w:space="0" w:color="auto"/>
                                <w:right w:val="none" w:sz="0" w:space="0" w:color="auto"/>
                              </w:divBdr>
                              <w:divsChild>
                                <w:div w:id="1196693329">
                                  <w:marLeft w:val="0"/>
                                  <w:marRight w:val="-135"/>
                                  <w:marTop w:val="0"/>
                                  <w:marBottom w:val="0"/>
                                  <w:divBdr>
                                    <w:top w:val="none" w:sz="0" w:space="0" w:color="auto"/>
                                    <w:left w:val="none" w:sz="0" w:space="0" w:color="auto"/>
                                    <w:bottom w:val="none" w:sz="0" w:space="0" w:color="auto"/>
                                    <w:right w:val="none" w:sz="0" w:space="0" w:color="auto"/>
                                  </w:divBdr>
                                  <w:divsChild>
                                    <w:div w:id="611983711">
                                      <w:marLeft w:val="0"/>
                                      <w:marRight w:val="0"/>
                                      <w:marTop w:val="0"/>
                                      <w:marBottom w:val="0"/>
                                      <w:divBdr>
                                        <w:top w:val="none" w:sz="0" w:space="0" w:color="auto"/>
                                        <w:left w:val="none" w:sz="0" w:space="0" w:color="auto"/>
                                        <w:bottom w:val="none" w:sz="0" w:space="0" w:color="auto"/>
                                        <w:right w:val="none" w:sz="0" w:space="0" w:color="auto"/>
                                      </w:divBdr>
                                      <w:divsChild>
                                        <w:div w:id="51120156">
                                          <w:marLeft w:val="0"/>
                                          <w:marRight w:val="0"/>
                                          <w:marTop w:val="0"/>
                                          <w:marBottom w:val="0"/>
                                          <w:divBdr>
                                            <w:top w:val="none" w:sz="0" w:space="0" w:color="auto"/>
                                            <w:left w:val="none" w:sz="0" w:space="0" w:color="auto"/>
                                            <w:bottom w:val="none" w:sz="0" w:space="0" w:color="auto"/>
                                            <w:right w:val="none" w:sz="0" w:space="0" w:color="auto"/>
                                          </w:divBdr>
                                          <w:divsChild>
                                            <w:div w:id="1791511490">
                                              <w:marLeft w:val="150"/>
                                              <w:marRight w:val="150"/>
                                              <w:marTop w:val="0"/>
                                              <w:marBottom w:val="0"/>
                                              <w:divBdr>
                                                <w:top w:val="none" w:sz="0" w:space="0" w:color="auto"/>
                                                <w:left w:val="none" w:sz="0" w:space="0" w:color="auto"/>
                                                <w:bottom w:val="none" w:sz="0" w:space="0" w:color="auto"/>
                                                <w:right w:val="none" w:sz="0" w:space="0" w:color="auto"/>
                                              </w:divBdr>
                                              <w:divsChild>
                                                <w:div w:id="1015494162">
                                                  <w:marLeft w:val="0"/>
                                                  <w:marRight w:val="0"/>
                                                  <w:marTop w:val="0"/>
                                                  <w:marBottom w:val="225"/>
                                                  <w:divBdr>
                                                    <w:top w:val="none" w:sz="0" w:space="0" w:color="auto"/>
                                                    <w:left w:val="none" w:sz="0" w:space="0" w:color="auto"/>
                                                    <w:bottom w:val="none" w:sz="0" w:space="0" w:color="auto"/>
                                                    <w:right w:val="none" w:sz="0" w:space="0" w:color="auto"/>
                                                  </w:divBdr>
                                                  <w:divsChild>
                                                    <w:div w:id="207839917">
                                                      <w:marLeft w:val="0"/>
                                                      <w:marRight w:val="0"/>
                                                      <w:marTop w:val="0"/>
                                                      <w:marBottom w:val="0"/>
                                                      <w:divBdr>
                                                        <w:top w:val="none" w:sz="0" w:space="0" w:color="auto"/>
                                                        <w:left w:val="none" w:sz="0" w:space="0" w:color="auto"/>
                                                        <w:bottom w:val="none" w:sz="0" w:space="0" w:color="auto"/>
                                                        <w:right w:val="none" w:sz="0" w:space="0" w:color="auto"/>
                                                      </w:divBdr>
                                                      <w:divsChild>
                                                        <w:div w:id="741634003">
                                                          <w:marLeft w:val="0"/>
                                                          <w:marRight w:val="0"/>
                                                          <w:marTop w:val="0"/>
                                                          <w:marBottom w:val="0"/>
                                                          <w:divBdr>
                                                            <w:top w:val="none" w:sz="0" w:space="0" w:color="auto"/>
                                                            <w:left w:val="none" w:sz="0" w:space="0" w:color="auto"/>
                                                            <w:bottom w:val="none" w:sz="0" w:space="0" w:color="auto"/>
                                                            <w:right w:val="none" w:sz="0" w:space="0" w:color="auto"/>
                                                          </w:divBdr>
                                                          <w:divsChild>
                                                            <w:div w:id="1180848525">
                                                              <w:marLeft w:val="0"/>
                                                              <w:marRight w:val="0"/>
                                                              <w:marTop w:val="0"/>
                                                              <w:marBottom w:val="0"/>
                                                              <w:divBdr>
                                                                <w:top w:val="none" w:sz="0" w:space="0" w:color="auto"/>
                                                                <w:left w:val="none" w:sz="0" w:space="0" w:color="auto"/>
                                                                <w:bottom w:val="none" w:sz="0" w:space="0" w:color="auto"/>
                                                                <w:right w:val="none" w:sz="0" w:space="0" w:color="auto"/>
                                                              </w:divBdr>
                                                              <w:divsChild>
                                                                <w:div w:id="376659820">
                                                                  <w:marLeft w:val="0"/>
                                                                  <w:marRight w:val="0"/>
                                                                  <w:marTop w:val="0"/>
                                                                  <w:marBottom w:val="0"/>
                                                                  <w:divBdr>
                                                                    <w:top w:val="none" w:sz="0" w:space="0" w:color="auto"/>
                                                                    <w:left w:val="none" w:sz="0" w:space="0" w:color="auto"/>
                                                                    <w:bottom w:val="none" w:sz="0" w:space="0" w:color="auto"/>
                                                                    <w:right w:val="none" w:sz="0" w:space="0" w:color="auto"/>
                                                                  </w:divBdr>
                                                                  <w:divsChild>
                                                                    <w:div w:id="1420253391">
                                                                      <w:marLeft w:val="0"/>
                                                                      <w:marRight w:val="0"/>
                                                                      <w:marTop w:val="0"/>
                                                                      <w:marBottom w:val="0"/>
                                                                      <w:divBdr>
                                                                        <w:top w:val="none" w:sz="0" w:space="0" w:color="auto"/>
                                                                        <w:left w:val="none" w:sz="0" w:space="0" w:color="auto"/>
                                                                        <w:bottom w:val="none" w:sz="0" w:space="0" w:color="auto"/>
                                                                        <w:right w:val="none" w:sz="0" w:space="0" w:color="auto"/>
                                                                      </w:divBdr>
                                                                      <w:divsChild>
                                                                        <w:div w:id="14232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oleObject" Target="file:///D:\BUSINESS%20DOCUMENTS%20COMPILATION\WORK%20FOLDER%201%20-%20CURRENT%20FILES\SCDB\CLUP\CLUP%20Reference%20Materials\Conso%20TB-2008-20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USINESS%20DOCUMENTS%20COMPILATION\WORK%20FOLDER%201%20-%20CURRENT%20FILES\SCDB\CLUP\CLUP%20Reference%20Materials\Conso%20TB-2008-2011.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BUSINESS%20DOCUMENTS%20COMPILATION\WORK%20FOLDER%201%20-%20CURRENT%20FILES\SCDB\CLUP\CLUP%20Reference%20Materials\Conso%20TB-2008-20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manualLayout>
          <c:layoutTarget val="inner"/>
          <c:xMode val="edge"/>
          <c:yMode val="edge"/>
          <c:x val="2.9794149512459372E-2"/>
          <c:y val="0"/>
          <c:w val="0.94041170097508131"/>
          <c:h val="0.92825655848303856"/>
        </c:manualLayout>
      </c:layout>
      <c:barChart>
        <c:barDir val="col"/>
        <c:grouping val="clustered"/>
        <c:varyColors val="1"/>
        <c:ser>
          <c:idx val="0"/>
          <c:order val="0"/>
          <c:tx>
            <c:strRef>
              <c:f>Charts!$A$41</c:f>
              <c:strCache>
                <c:ptCount val="1"/>
                <c:pt idx="0">
                  <c:v>Internally Generated Funds</c:v>
                </c:pt>
              </c:strCache>
            </c:strRef>
          </c:tx>
          <c:invertIfNegative val="1"/>
          <c:cat>
            <c:strRef>
              <c:f>Charts!$B$40:$E$40</c:f>
              <c:strCache>
                <c:ptCount val="4"/>
                <c:pt idx="0">
                  <c:v>2011</c:v>
                </c:pt>
                <c:pt idx="1">
                  <c:v>2010</c:v>
                </c:pt>
                <c:pt idx="2">
                  <c:v>2009</c:v>
                </c:pt>
                <c:pt idx="3">
                  <c:v>2008</c:v>
                </c:pt>
              </c:strCache>
            </c:strRef>
          </c:cat>
          <c:val>
            <c:numRef>
              <c:f>Charts!$B$41:$E$41</c:f>
              <c:numCache>
                <c:formatCode>_(* #,##0.00_);_(* \(#,##0.00\);_(* "-"??_);_(@_)</c:formatCode>
                <c:ptCount val="4"/>
                <c:pt idx="0">
                  <c:v>143468971.22000003</c:v>
                </c:pt>
                <c:pt idx="1">
                  <c:v>126198744.5000001</c:v>
                </c:pt>
                <c:pt idx="2">
                  <c:v>119934899.58999993</c:v>
                </c:pt>
                <c:pt idx="3">
                  <c:v>85462929.209999993</c:v>
                </c:pt>
              </c:numCache>
            </c:numRef>
          </c:val>
        </c:ser>
        <c:ser>
          <c:idx val="1"/>
          <c:order val="1"/>
          <c:tx>
            <c:strRef>
              <c:f>Charts!$A$42</c:f>
              <c:strCache>
                <c:ptCount val="1"/>
                <c:pt idx="0">
                  <c:v>Internal Revenue Allotment</c:v>
                </c:pt>
              </c:strCache>
            </c:strRef>
          </c:tx>
          <c:invertIfNegative val="1"/>
          <c:cat>
            <c:strRef>
              <c:f>Charts!$B$40:$E$40</c:f>
              <c:strCache>
                <c:ptCount val="4"/>
                <c:pt idx="0">
                  <c:v>2011</c:v>
                </c:pt>
                <c:pt idx="1">
                  <c:v>2010</c:v>
                </c:pt>
                <c:pt idx="2">
                  <c:v>2009</c:v>
                </c:pt>
                <c:pt idx="3">
                  <c:v>2008</c:v>
                </c:pt>
              </c:strCache>
            </c:strRef>
          </c:cat>
          <c:val>
            <c:numRef>
              <c:f>Charts!$B$42:$E$42</c:f>
              <c:numCache>
                <c:formatCode>_(* #,##0.00_);_(* \(#,##0.00\);_(* "-"??_);_(@_)</c:formatCode>
                <c:ptCount val="4"/>
                <c:pt idx="0">
                  <c:v>490966111</c:v>
                </c:pt>
                <c:pt idx="1">
                  <c:v>456529898</c:v>
                </c:pt>
                <c:pt idx="2">
                  <c:v>413778738</c:v>
                </c:pt>
                <c:pt idx="3">
                  <c:v>343761948.81999999</c:v>
                </c:pt>
              </c:numCache>
            </c:numRef>
          </c:val>
        </c:ser>
        <c:ser>
          <c:idx val="2"/>
          <c:order val="2"/>
          <c:tx>
            <c:strRef>
              <c:f>Charts!$A$43</c:f>
              <c:strCache>
                <c:ptCount val="1"/>
                <c:pt idx="0">
                  <c:v>Other Subsidies</c:v>
                </c:pt>
              </c:strCache>
            </c:strRef>
          </c:tx>
          <c:invertIfNegative val="1"/>
          <c:cat>
            <c:strRef>
              <c:f>Charts!$B$40:$E$40</c:f>
              <c:strCache>
                <c:ptCount val="4"/>
                <c:pt idx="0">
                  <c:v>2011</c:v>
                </c:pt>
                <c:pt idx="1">
                  <c:v>2010</c:v>
                </c:pt>
                <c:pt idx="2">
                  <c:v>2009</c:v>
                </c:pt>
                <c:pt idx="3">
                  <c:v>2008</c:v>
                </c:pt>
              </c:strCache>
            </c:strRef>
          </c:cat>
          <c:val>
            <c:numRef>
              <c:f>Charts!$B$43:$E$43</c:f>
              <c:numCache>
                <c:formatCode>_(* #,##0.00_);_(* \(#,##0.00\);_(* "-"??_);_(@_)</c:formatCode>
                <c:ptCount val="4"/>
                <c:pt idx="0">
                  <c:v>650000</c:v>
                </c:pt>
                <c:pt idx="1">
                  <c:v>705901.52</c:v>
                </c:pt>
                <c:pt idx="2">
                  <c:v>944098.48</c:v>
                </c:pt>
                <c:pt idx="3">
                  <c:v>60000</c:v>
                </c:pt>
              </c:numCache>
            </c:numRef>
          </c:val>
        </c:ser>
        <c:dLbls>
          <c:showLegendKey val="0"/>
          <c:showVal val="0"/>
          <c:showCatName val="0"/>
          <c:showSerName val="0"/>
          <c:showPercent val="0"/>
          <c:showBubbleSize val="0"/>
        </c:dLbls>
        <c:gapWidth val="75"/>
        <c:overlap val="-25"/>
        <c:axId val="200962816"/>
        <c:axId val="201179520"/>
      </c:barChart>
      <c:catAx>
        <c:axId val="200962816"/>
        <c:scaling>
          <c:orientation val="minMax"/>
        </c:scaling>
        <c:delete val="1"/>
        <c:axPos val="b"/>
        <c:majorTickMark val="none"/>
        <c:minorTickMark val="cross"/>
        <c:tickLblPos val="nextTo"/>
        <c:crossAx val="201179520"/>
        <c:crosses val="autoZero"/>
        <c:auto val="1"/>
        <c:lblAlgn val="ctr"/>
        <c:lblOffset val="100"/>
        <c:noMultiLvlLbl val="1"/>
      </c:catAx>
      <c:valAx>
        <c:axId val="201179520"/>
        <c:scaling>
          <c:orientation val="minMax"/>
        </c:scaling>
        <c:delete val="1"/>
        <c:axPos val="l"/>
        <c:majorGridlines/>
        <c:numFmt formatCode="_(* #,##0.00_);_(* \(#,##0.00\);_(* &quot;-&quot;??_);_(@_)" sourceLinked="1"/>
        <c:majorTickMark val="none"/>
        <c:minorTickMark val="cross"/>
        <c:tickLblPos val="nextTo"/>
        <c:crossAx val="200962816"/>
        <c:crosses val="autoZero"/>
        <c:crossBetween val="between"/>
      </c:valAx>
    </c:plotArea>
    <c:legend>
      <c:legendPos val="b"/>
      <c:layout>
        <c:manualLayout>
          <c:xMode val="edge"/>
          <c:yMode val="edge"/>
          <c:x val="4.7250804989582486E-2"/>
          <c:y val="0.90960468284572937"/>
          <c:w val="0.89999982682115953"/>
          <c:h val="8.8304404550011012E-2"/>
        </c:manualLayout>
      </c:layout>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a:t>Internally Generated Funds</a:t>
            </a:r>
          </a:p>
          <a:p>
            <a:pPr>
              <a:defRPr/>
            </a:pPr>
            <a:r>
              <a:rPr lang="en-US"/>
              <a:t>In Philippine Pesos</a:t>
            </a:r>
          </a:p>
        </c:rich>
      </c:tx>
      <c:layout>
        <c:manualLayout>
          <c:xMode val="edge"/>
          <c:yMode val="edge"/>
          <c:x val="0.23477769824226516"/>
          <c:y val="5.0483960998087916E-3"/>
        </c:manualLayout>
      </c:layout>
      <c:overlay val="1"/>
    </c:title>
    <c:autoTitleDeleted val="0"/>
    <c:plotArea>
      <c:layout>
        <c:manualLayout>
          <c:layoutTarget val="inner"/>
          <c:xMode val="edge"/>
          <c:yMode val="edge"/>
          <c:x val="2.8205128205128206E-2"/>
          <c:y val="0.23303676023547906"/>
          <c:w val="0.94358974358974368"/>
          <c:h val="0.59208238800657642"/>
        </c:manualLayout>
      </c:layout>
      <c:lineChart>
        <c:grouping val="standard"/>
        <c:varyColors val="1"/>
        <c:ser>
          <c:idx val="0"/>
          <c:order val="0"/>
          <c:tx>
            <c:strRef>
              <c:f>Charts!$A$71</c:f>
              <c:strCache>
                <c:ptCount val="1"/>
                <c:pt idx="0">
                  <c:v>Internally Generated Funds</c:v>
                </c:pt>
              </c:strCache>
            </c:strRef>
          </c:tx>
          <c:dLbls>
            <c:dLbl>
              <c:idx val="0"/>
              <c:layout>
                <c:manualLayout>
                  <c:x val="-0.11315994591585143"/>
                  <c:y val="0.15755394829040034"/>
                </c:manualLayout>
              </c:layout>
              <c:dLblPos val="r"/>
              <c:showLegendKey val="1"/>
              <c:showVal val="1"/>
              <c:showCatName val="1"/>
              <c:showSerName val="1"/>
              <c:showPercent val="1"/>
              <c:showBubbleSize val="1"/>
            </c:dLbl>
            <c:dLbl>
              <c:idx val="1"/>
              <c:layout>
                <c:manualLayout>
                  <c:x val="-0.14242356069127723"/>
                  <c:y val="0.2136753720264605"/>
                </c:manualLayout>
              </c:layout>
              <c:dLblPos val="r"/>
              <c:showLegendKey val="1"/>
              <c:showVal val="1"/>
              <c:showCatName val="1"/>
              <c:showSerName val="1"/>
              <c:showPercent val="1"/>
              <c:showBubbleSize val="1"/>
            </c:dLbl>
            <c:dLbl>
              <c:idx val="2"/>
              <c:layout>
                <c:manualLayout>
                  <c:x val="-0.14307302496278873"/>
                  <c:y val="0.23317822828707491"/>
                </c:manualLayout>
              </c:layout>
              <c:dLblPos val="r"/>
              <c:showLegendKey val="1"/>
              <c:showVal val="1"/>
              <c:showCatName val="1"/>
              <c:showSerName val="1"/>
              <c:showPercent val="1"/>
              <c:showBubbleSize val="1"/>
            </c:dLbl>
            <c:dLbl>
              <c:idx val="3"/>
              <c:layout>
                <c:manualLayout>
                  <c:x val="-2.2574678165229345E-2"/>
                  <c:y val="0.18771986080925404"/>
                </c:manualLayout>
              </c:layout>
              <c:dLblPos val="r"/>
              <c:showLegendKey val="1"/>
              <c:showVal val="1"/>
              <c:showCatName val="1"/>
              <c:showSerName val="1"/>
              <c:showPercent val="1"/>
              <c:showBubbleSize val="1"/>
            </c:dLbl>
            <c:dLblPos val="ctr"/>
            <c:showLegendKey val="1"/>
            <c:showVal val="1"/>
            <c:showCatName val="1"/>
            <c:showSerName val="1"/>
            <c:showPercent val="1"/>
            <c:showBubbleSize val="1"/>
            <c:showLeaderLines val="0"/>
          </c:dLbls>
          <c:cat>
            <c:strRef>
              <c:f>Charts!$B$70:$E$70</c:f>
              <c:strCache>
                <c:ptCount val="4"/>
                <c:pt idx="0">
                  <c:v> 2008 </c:v>
                </c:pt>
                <c:pt idx="1">
                  <c:v> 2009 </c:v>
                </c:pt>
                <c:pt idx="2">
                  <c:v> 2010 </c:v>
                </c:pt>
                <c:pt idx="3">
                  <c:v> 2011 </c:v>
                </c:pt>
              </c:strCache>
            </c:strRef>
          </c:cat>
          <c:val>
            <c:numRef>
              <c:f>Charts!$B$71:$E$71</c:f>
              <c:numCache>
                <c:formatCode>_(* #,##0.00_);_(* \(#,##0.00\);_(* "-"??_);_(@_)</c:formatCode>
                <c:ptCount val="4"/>
                <c:pt idx="0">
                  <c:v>85462929.209999993</c:v>
                </c:pt>
                <c:pt idx="1">
                  <c:v>119934899.58999993</c:v>
                </c:pt>
                <c:pt idx="2">
                  <c:v>126198744.5000001</c:v>
                </c:pt>
                <c:pt idx="3">
                  <c:v>143468971.22000003</c:v>
                </c:pt>
              </c:numCache>
            </c:numRef>
          </c:val>
          <c:smooth val="1"/>
        </c:ser>
        <c:dLbls>
          <c:showLegendKey val="1"/>
          <c:showVal val="1"/>
          <c:showCatName val="1"/>
          <c:showSerName val="1"/>
          <c:showPercent val="1"/>
          <c:showBubbleSize val="1"/>
        </c:dLbls>
        <c:marker val="1"/>
        <c:smooth val="0"/>
        <c:axId val="204091392"/>
        <c:axId val="204094464"/>
      </c:lineChart>
      <c:catAx>
        <c:axId val="204091392"/>
        <c:scaling>
          <c:orientation val="minMax"/>
        </c:scaling>
        <c:delete val="1"/>
        <c:axPos val="b"/>
        <c:majorTickMark val="none"/>
        <c:minorTickMark val="cross"/>
        <c:tickLblPos val="nextTo"/>
        <c:crossAx val="204094464"/>
        <c:crosses val="autoZero"/>
        <c:auto val="1"/>
        <c:lblAlgn val="ctr"/>
        <c:lblOffset val="100"/>
        <c:noMultiLvlLbl val="1"/>
      </c:catAx>
      <c:valAx>
        <c:axId val="204094464"/>
        <c:scaling>
          <c:orientation val="minMax"/>
        </c:scaling>
        <c:delete val="1"/>
        <c:axPos val="l"/>
        <c:numFmt formatCode="_(* #,##0.00_);_(* \(#,##0.00\);_(* &quot;-&quot;??_);_(@_)" sourceLinked="1"/>
        <c:majorTickMark val="none"/>
        <c:minorTickMark val="cross"/>
        <c:tickLblPos val="none"/>
        <c:crossAx val="204091392"/>
        <c:crosses val="autoZero"/>
        <c:crossBetween val="between"/>
      </c:valAx>
    </c:plotArea>
    <c:legend>
      <c:legendPos val="b"/>
      <c:overlay val="1"/>
    </c:legend>
    <c:plotVisOnly val="1"/>
    <c:dispBlanksAs val="zero"/>
    <c:showDLblsOverMax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a:t>Internally Generated Funds</a:t>
            </a:r>
          </a:p>
          <a:p>
            <a:pPr>
              <a:defRPr/>
            </a:pPr>
            <a:r>
              <a:rPr lang="en-US"/>
              <a:t>In Philippine Pesos</a:t>
            </a:r>
          </a:p>
        </c:rich>
      </c:tx>
      <c:layout>
        <c:manualLayout>
          <c:xMode val="edge"/>
          <c:yMode val="edge"/>
          <c:x val="0.23477769824226516"/>
          <c:y val="5.0483960998087916E-3"/>
        </c:manualLayout>
      </c:layout>
      <c:overlay val="1"/>
    </c:title>
    <c:autoTitleDeleted val="0"/>
    <c:plotArea>
      <c:layout>
        <c:manualLayout>
          <c:layoutTarget val="inner"/>
          <c:xMode val="edge"/>
          <c:yMode val="edge"/>
          <c:x val="2.8205128205128206E-2"/>
          <c:y val="0.23303676023547906"/>
          <c:w val="0.94358974358974368"/>
          <c:h val="0.59208238800657642"/>
        </c:manualLayout>
      </c:layout>
      <c:lineChart>
        <c:grouping val="standard"/>
        <c:varyColors val="1"/>
        <c:ser>
          <c:idx val="0"/>
          <c:order val="0"/>
          <c:tx>
            <c:strRef>
              <c:f>Charts!$A$71</c:f>
              <c:strCache>
                <c:ptCount val="1"/>
                <c:pt idx="0">
                  <c:v>Internally Generated Funds</c:v>
                </c:pt>
              </c:strCache>
            </c:strRef>
          </c:tx>
          <c:dLbls>
            <c:dLbl>
              <c:idx val="0"/>
              <c:layout>
                <c:manualLayout>
                  <c:x val="-0.11315994591585143"/>
                  <c:y val="0.15755394829040034"/>
                </c:manualLayout>
              </c:layout>
              <c:dLblPos val="r"/>
              <c:showLegendKey val="1"/>
              <c:showVal val="1"/>
              <c:showCatName val="1"/>
              <c:showSerName val="1"/>
              <c:showPercent val="1"/>
              <c:showBubbleSize val="1"/>
            </c:dLbl>
            <c:dLbl>
              <c:idx val="1"/>
              <c:layout>
                <c:manualLayout>
                  <c:x val="-0.14242356069127723"/>
                  <c:y val="0.2136753720264605"/>
                </c:manualLayout>
              </c:layout>
              <c:dLblPos val="r"/>
              <c:showLegendKey val="1"/>
              <c:showVal val="1"/>
              <c:showCatName val="1"/>
              <c:showSerName val="1"/>
              <c:showPercent val="1"/>
              <c:showBubbleSize val="1"/>
            </c:dLbl>
            <c:dLbl>
              <c:idx val="2"/>
              <c:layout>
                <c:manualLayout>
                  <c:x val="-0.14307302496278873"/>
                  <c:y val="0.23317822828707491"/>
                </c:manualLayout>
              </c:layout>
              <c:dLblPos val="r"/>
              <c:showLegendKey val="1"/>
              <c:showVal val="1"/>
              <c:showCatName val="1"/>
              <c:showSerName val="1"/>
              <c:showPercent val="1"/>
              <c:showBubbleSize val="1"/>
            </c:dLbl>
            <c:dLbl>
              <c:idx val="3"/>
              <c:layout>
                <c:manualLayout>
                  <c:x val="-2.2574678165229345E-2"/>
                  <c:y val="0.18771986080925404"/>
                </c:manualLayout>
              </c:layout>
              <c:dLblPos val="r"/>
              <c:showLegendKey val="1"/>
              <c:showVal val="1"/>
              <c:showCatName val="1"/>
              <c:showSerName val="1"/>
              <c:showPercent val="1"/>
              <c:showBubbleSize val="1"/>
            </c:dLbl>
            <c:dLblPos val="ctr"/>
            <c:showLegendKey val="1"/>
            <c:showVal val="1"/>
            <c:showCatName val="1"/>
            <c:showSerName val="1"/>
            <c:showPercent val="1"/>
            <c:showBubbleSize val="1"/>
            <c:showLeaderLines val="0"/>
          </c:dLbls>
          <c:cat>
            <c:strRef>
              <c:f>Charts!$B$70:$E$70</c:f>
              <c:strCache>
                <c:ptCount val="4"/>
                <c:pt idx="0">
                  <c:v> 2008 </c:v>
                </c:pt>
                <c:pt idx="1">
                  <c:v> 2009 </c:v>
                </c:pt>
                <c:pt idx="2">
                  <c:v> 2010 </c:v>
                </c:pt>
                <c:pt idx="3">
                  <c:v> 2011 </c:v>
                </c:pt>
              </c:strCache>
            </c:strRef>
          </c:cat>
          <c:val>
            <c:numRef>
              <c:f>Charts!$B$71:$E$71</c:f>
              <c:numCache>
                <c:formatCode>_(* #,##0.00_);_(* \(#,##0.00\);_(* "-"??_);_(@_)</c:formatCode>
                <c:ptCount val="4"/>
                <c:pt idx="0">
                  <c:v>85462929.209999993</c:v>
                </c:pt>
                <c:pt idx="1">
                  <c:v>119934899.58999993</c:v>
                </c:pt>
                <c:pt idx="2">
                  <c:v>126198744.5000001</c:v>
                </c:pt>
                <c:pt idx="3">
                  <c:v>143468971.22000003</c:v>
                </c:pt>
              </c:numCache>
            </c:numRef>
          </c:val>
          <c:smooth val="1"/>
        </c:ser>
        <c:dLbls>
          <c:showLegendKey val="1"/>
          <c:showVal val="1"/>
          <c:showCatName val="1"/>
          <c:showSerName val="1"/>
          <c:showPercent val="1"/>
          <c:showBubbleSize val="1"/>
        </c:dLbls>
        <c:marker val="1"/>
        <c:smooth val="0"/>
        <c:axId val="208356864"/>
        <c:axId val="183645696"/>
      </c:lineChart>
      <c:catAx>
        <c:axId val="208356864"/>
        <c:scaling>
          <c:orientation val="minMax"/>
        </c:scaling>
        <c:delete val="1"/>
        <c:axPos val="b"/>
        <c:majorTickMark val="none"/>
        <c:minorTickMark val="cross"/>
        <c:tickLblPos val="nextTo"/>
        <c:crossAx val="183645696"/>
        <c:crosses val="autoZero"/>
        <c:auto val="1"/>
        <c:lblAlgn val="ctr"/>
        <c:lblOffset val="100"/>
        <c:noMultiLvlLbl val="1"/>
      </c:catAx>
      <c:valAx>
        <c:axId val="183645696"/>
        <c:scaling>
          <c:orientation val="minMax"/>
        </c:scaling>
        <c:delete val="1"/>
        <c:axPos val="l"/>
        <c:numFmt formatCode="_(* #,##0.00_);_(* \(#,##0.00\);_(* &quot;-&quot;??_);_(@_)" sourceLinked="1"/>
        <c:majorTickMark val="none"/>
        <c:minorTickMark val="cross"/>
        <c:tickLblPos val="none"/>
        <c:crossAx val="208356864"/>
        <c:crosses val="autoZero"/>
        <c:crossBetween val="between"/>
      </c:valAx>
    </c:plotArea>
    <c:legend>
      <c:legendPos val="b"/>
      <c:overlay val="1"/>
    </c:legend>
    <c:plotVisOnly val="1"/>
    <c:dispBlanksAs val="zero"/>
    <c:showDLblsOverMax val="1"/>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22C2D-145D-42F0-971A-AA026518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14</cp:revision>
  <cp:lastPrinted>2014-06-10T08:26:00Z</cp:lastPrinted>
  <dcterms:created xsi:type="dcterms:W3CDTF">2014-06-06T05:57:00Z</dcterms:created>
  <dcterms:modified xsi:type="dcterms:W3CDTF">2014-06-10T08:29:00Z</dcterms:modified>
</cp:coreProperties>
</file>